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400"/>
      </w:pPr>
    </w:p>
    <w:p>
      <w:pPr>
        <w:pBdr>
          <w:bottom w:val="single" w:color="C55A11" w:sz="18" w:space="8"/>
        </w:pBdr>
        <w:spacing w:after="200"/>
        <w:jc w:val="left"/>
      </w:pPr>
      <w:r>
        <w:rPr>
          <w:rFonts w:ascii="Arial" w:cs="Arial" w:eastAsia="Arial" w:hAnsi="Arial"/>
          <w:b/>
          <w:bCs/>
          <w:color w:val="1F3864"/>
          <w:sz w:val="48"/>
          <w:szCs w:val="48"/>
        </w:rPr>
        <w:t xml:space="preserve">Planeación Estratégica</w:t>
      </w:r>
    </w:p>
    <w:p>
      <w:pPr>
        <w:spacing w:after="600"/>
      </w:pPr>
      <w:r>
        <w:rPr>
          <w:rFonts w:ascii="Arial" w:cs="Arial" w:eastAsia="Arial" w:hAnsi="Arial"/>
          <w:color w:val="404040"/>
          <w:sz w:val="28"/>
          <w:szCs w:val="28"/>
        </w:rPr>
        <w:t xml:space="preserve">Talleres, caso de decisión y debate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404040"/>
          <w:sz w:val="22"/>
          <w:szCs w:val="22"/>
        </w:rPr>
        <w:t xml:space="preserve">Programa:</w:t>
      </w:r>
      <w:r>
        <w:rPr>
          <w:rFonts w:ascii="Arial" w:cs="Arial" w:eastAsia="Arial" w:hAnsi="Arial"/>
          <w:color w:val="404040"/>
          <w:sz w:val="22"/>
          <w:szCs w:val="22"/>
        </w:rPr>
        <w:t xml:space="preserve"> Especialización en Planeación Tributaria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404040"/>
          <w:sz w:val="22"/>
          <w:szCs w:val="22"/>
        </w:rPr>
        <w:t xml:space="preserve">Docente:</w:t>
      </w:r>
      <w:r>
        <w:rPr>
          <w:rFonts w:ascii="Arial" w:cs="Arial" w:eastAsia="Arial" w:hAnsi="Arial"/>
          <w:color w:val="404040"/>
          <w:sz w:val="22"/>
          <w:szCs w:val="22"/>
        </w:rPr>
        <w:t xml:space="preserve"> Alexander Zamora</w:t>
      </w:r>
    </w:p>
    <w:p>
      <w:pPr>
        <w:spacing w:after="80"/>
      </w:pPr>
    </w:p>
    <w:p>
      <w:pPr>
        <w:spacing w:after="80"/>
      </w:pPr>
      <w:r>
        <w:rPr>
          <w:rFonts w:ascii="Arial" w:cs="Arial" w:eastAsia="Arial" w:hAnsi="Arial"/>
          <w:b/>
          <w:bCs/>
          <w:color w:val="404040"/>
          <w:sz w:val="22"/>
          <w:szCs w:val="22"/>
        </w:rPr>
        <w:t xml:space="preserve">Caso común:</w:t>
      </w:r>
      <w:r>
        <w:rPr>
          <w:rFonts w:ascii="Arial" w:cs="Arial" w:eastAsia="Arial" w:hAnsi="Arial"/>
          <w:color w:val="404040"/>
          <w:sz w:val="22"/>
          <w:szCs w:val="22"/>
        </w:rPr>
        <w:t xml:space="preserve"> Alimentos La Sabana S.A.S. (empresa ficticia). Use el libro de Excel "Herramientas</w:t>
      </w:r>
      <w:r>
        <w:rPr>
          <w:rFonts w:ascii="Arial" w:cs="Arial" w:eastAsia="Arial" w:hAnsi="Arial"/>
          <w:i/>
          <w:iCs/>
          <w:color w:val="404040"/>
          <w:sz w:val="22"/>
          <w:szCs w:val="22"/>
        </w:rPr>
        <w:t xml:space="preserve">Planeacion</w:t>
      </w:r>
      <w:r>
        <w:rPr>
          <w:rFonts w:ascii="Arial" w:cs="Arial" w:eastAsia="Arial" w:hAnsi="Arial"/>
          <w:color w:val="404040"/>
          <w:sz w:val="22"/>
          <w:szCs w:val="22"/>
        </w:rPr>
        <w:t xml:space="preserve">Estrategica". Las normas citadas están vigentes a octubre de 2026; verifique si hubo cambios antes de entregar.</w:t>
      </w:r>
    </w:p>
    <w:p>
      <w:pPr>
        <w:pStyle w:val="Heading1"/>
        <w:pageBreakBefore/>
      </w:pPr>
      <w:r>
        <w:rPr>
          <w:rFonts w:ascii="Arial" w:cs="Arial" w:eastAsia="Arial" w:hAnsi="Arial"/>
        </w:rPr>
        <w:t xml:space="preserve">Ficha del caso: Alimentos La Sabana S.A.S.</w:t>
      </w:r>
    </w:p>
    <w:p>
      <w:pPr>
        <w:spacing w:after="120" w:line="276"/>
        <w:jc w:val="both"/>
      </w:pPr>
      <w:r>
        <w:rPr>
          <w:rFonts w:ascii="Arial" w:cs="Arial" w:eastAsia="Arial" w:hAnsi="Arial"/>
        </w:rPr>
        <w:t xml:space="preserve">Empresa ficticia de alimentos con planta en Mosquera (Cundinamarca). Ingresos anuales de $185.000 M y utilidad antes de impuestos de $14.800 M. Gran empresa.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15"/>
        <w:gridCol w:w="1204"/>
        <w:gridCol w:w="4419"/>
      </w:tblGrid>
      <w:tr>
        <w:trPr>
          <w:tblHeader/>
        </w:trPr>
        <w:tc>
          <w:tcPr>
            <w:tcW w:type="dxa" w:w="40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Línea</w:t>
            </w:r>
          </w:p>
        </w:tc>
        <w:tc>
          <w:tcPr>
            <w:tcW w:type="dxa" w:w="120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% de ventas</w:t>
            </w:r>
          </w:p>
        </w:tc>
        <w:tc>
          <w:tcPr>
            <w:tcW w:type="dxa" w:w="44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Situación</w:t>
            </w:r>
          </w:p>
        </w:tc>
      </w:tr>
      <w:tr>
        <w:tc>
          <w:tcPr>
            <w:tcW w:type="dxa" w:w="40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Snacks (pasabocas)</w:t>
            </w:r>
          </w:p>
        </w:tc>
        <w:tc>
          <w:tcPr>
            <w:tcW w:type="dxa" w:w="120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55 %</w:t>
            </w:r>
          </w:p>
        </w:tc>
        <w:tc>
          <w:tcPr>
            <w:tcW w:type="dxa" w:w="44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Gravados con el impuesto a comestibles ultraprocesados (20 %). Mercado maduro.</w:t>
            </w:r>
          </w:p>
        </w:tc>
      </w:tr>
      <w:tr>
        <w:tc>
          <w:tcPr>
            <w:tcW w:type="dxa" w:w="40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Pulpas y frutas congeladas</w:t>
            </w:r>
          </w:p>
        </w:tc>
        <w:tc>
          <w:tcPr>
            <w:tcW w:type="dxa" w:w="120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30 %</w:t>
            </w:r>
          </w:p>
        </w:tc>
        <w:tc>
          <w:tcPr>
            <w:tcW w:type="dxa" w:w="44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Crecimiento alto; demanda en el exterior; no gravadas con impuestos saludables.</w:t>
            </w:r>
          </w:p>
        </w:tc>
      </w:tr>
      <w:tr>
        <w:tc>
          <w:tcPr>
            <w:tcW w:type="dxa" w:w="40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Panadería industrial (filial Panadería del Campo S.A.S., 100 %)</w:t>
            </w:r>
          </w:p>
        </w:tc>
        <w:tc>
          <w:tcPr>
            <w:tcW w:type="dxa" w:w="120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15 %</w:t>
            </w:r>
          </w:p>
        </w:tc>
        <w:tc>
          <w:tcPr>
            <w:tcW w:type="dxa" w:w="44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Rentabilidad baja; hay un comprador interesado.</w:t>
            </w:r>
          </w:p>
        </w:tc>
      </w:tr>
    </w:tbl>
    <w:p>
      <w:pPr>
        <w:spacing w:after="80"/>
      </w:pPr>
    </w:p>
    <w:p>
      <w:pPr>
        <w:spacing w:after="120" w:line="276"/>
        <w:jc w:val="both"/>
      </w:pPr>
      <w:r>
        <w:rPr>
          <w:rFonts w:ascii="Arial" w:cs="Arial" w:eastAsia="Arial" w:hAnsi="Arial"/>
        </w:rPr>
        <w:t xml:space="preserve">Exporta el 8 % de sus ventas. La junta pidió un plan a cinco años: crecer, llegar al 30 % de exportaciones en 2031 y reducir la dependencia de los snacks. El área de impuestos hoy no participa en el comité de inversiones.</w:t>
      </w:r>
    </w:p>
    <w:p>
      <w:pPr>
        <w:pStyle w:val="Heading1"/>
        <w:pageBreakBefore/>
      </w:pPr>
      <w:r>
        <w:rPr>
          <w:rFonts w:ascii="Arial" w:cs="Arial" w:eastAsia="Arial" w:hAnsi="Arial"/>
        </w:rPr>
        <w:t xml:space="preserve">Taller 1 · Direccionamiento y frontera ética (sesión 1)</w:t>
      </w:r>
    </w:p>
    <w:p>
      <w:pPr>
        <w:spacing w:after="120" w:line="276"/>
        <w:jc w:val="both"/>
      </w:pPr>
      <w:r>
        <w:rPr>
          <w:rFonts w:ascii="Arial" w:cs="Arial" w:eastAsia="Arial" w:hAnsi="Arial"/>
          <w:b/>
          <w:bCs/>
        </w:rPr>
        <w:t xml:space="preserve">Formativo, en grupos de 3 o 4.</w:t>
      </w:r>
    </w:p>
    <w:p>
      <w:pPr>
        <w:pStyle w:val="Heading3"/>
      </w:pPr>
      <w:r>
        <w:rPr>
          <w:rFonts w:ascii="Arial" w:cs="Arial" w:eastAsia="Arial" w:hAnsi="Arial"/>
        </w:rPr>
        <w:t xml:space="preserve">Parte A. Direccionamiento</w:t>
      </w:r>
    </w:p>
    <w:p>
      <w:pPr>
        <w:spacing w:after="120" w:line="276"/>
        <w:jc w:val="both"/>
      </w:pPr>
      <w:r>
        <w:rPr>
          <w:rFonts w:ascii="Arial" w:cs="Arial" w:eastAsia="Arial" w:hAnsi="Arial"/>
        </w:rPr>
        <w:t xml:space="preserve">Misión actual: </w:t>
      </w:r>
      <w:r>
        <w:rPr>
          <w:rFonts w:ascii="Arial" w:cs="Arial" w:eastAsia="Arial" w:hAnsi="Arial"/>
          <w:i/>
          <w:iCs/>
        </w:rPr>
        <w:t xml:space="preserve">"Producir alimentos deliciosos para las familias colombianas con los más altos estándares de calidad"</w:t>
      </w:r>
      <w:r>
        <w:rPr>
          <w:rFonts w:ascii="Arial" w:cs="Arial" w:eastAsia="Arial" w:hAnsi="Arial"/>
        </w:rPr>
        <w:t xml:space="preserve">. Reescriba la misión y la visión (con horizonte 2031) y formule tres objetivos estratégicos medibles. Al menos uno debe incorporar la variable fiscal.</w:t>
      </w:r>
    </w:p>
    <w:p>
      <w:pPr>
        <w:pStyle w:val="Heading3"/>
      </w:pPr>
      <w:r>
        <w:rPr>
          <w:rFonts w:ascii="Arial" w:cs="Arial" w:eastAsia="Arial" w:hAnsi="Arial"/>
        </w:rPr>
        <w:t xml:space="preserve">Parte B. ¿Planeación, abuso o evasión?</w:t>
      </w:r>
    </w:p>
    <w:p>
      <w:pPr>
        <w:spacing w:after="120" w:line="276"/>
        <w:jc w:val="both"/>
      </w:pPr>
      <w:r>
        <w:rPr>
          <w:rFonts w:ascii="Arial" w:cs="Arial" w:eastAsia="Arial" w:hAnsi="Arial"/>
          <w:b/>
          <w:bCs/>
        </w:rPr>
        <w:t xml:space="preserve">1.</w:t>
      </w:r>
      <w:r>
        <w:rPr>
          <w:rFonts w:ascii="Arial" w:cs="Arial" w:eastAsia="Arial" w:hAnsi="Arial"/>
        </w:rPr>
        <w:t xml:space="preserve"> Una empresa que exporta el 70 % de su producción se califica como usuario industrial de zona franca y suscribe su PIAV.</w:t>
      </w:r>
    </w:p>
    <w:p>
      <w:pPr>
        <w:spacing w:after="120" w:line="276"/>
        <w:jc w:val="both"/>
      </w:pPr>
      <w:r>
        <w:rPr>
          <w:rFonts w:ascii="Arial" w:cs="Arial" w:eastAsia="Arial" w:hAnsi="Arial"/>
          <w:b/>
          <w:bCs/>
        </w:rPr>
        <w:t xml:space="preserve">2.</w:t>
      </w:r>
      <w:r>
        <w:rPr>
          <w:rFonts w:ascii="Arial" w:cs="Arial" w:eastAsia="Arial" w:hAnsi="Arial"/>
        </w:rPr>
        <w:t xml:space="preserve"> Un empresario divide su negocio en cinco sociedades con el mismo objeto, sede y empleados para que cada una tenga ingresos inferiores a 100.000 UVT y use el SIMPLE.</w:t>
      </w:r>
    </w:p>
    <w:p>
      <w:pPr>
        <w:spacing w:after="120" w:line="276"/>
        <w:jc w:val="both"/>
      </w:pPr>
      <w:r>
        <w:rPr>
          <w:rFonts w:ascii="Arial" w:cs="Arial" w:eastAsia="Arial" w:hAnsi="Arial"/>
          <w:b/>
          <w:bCs/>
        </w:rPr>
        <w:t xml:space="preserve">3.</w:t>
      </w:r>
      <w:r>
        <w:rPr>
          <w:rFonts w:ascii="Arial" w:cs="Arial" w:eastAsia="Arial" w:hAnsi="Arial"/>
        </w:rPr>
        <w:t xml:space="preserve"> El área contable registra facturas de un proveedor que no prestó ningún servicio.</w:t>
      </w:r>
    </w:p>
    <w:p>
      <w:pPr>
        <w:spacing w:after="120" w:line="276"/>
        <w:jc w:val="both"/>
      </w:pPr>
      <w:r>
        <w:rPr>
          <w:rFonts w:ascii="Arial" w:cs="Arial" w:eastAsia="Arial" w:hAnsi="Arial"/>
          <w:b/>
          <w:bCs/>
        </w:rPr>
        <w:t xml:space="preserve">4.</w:t>
      </w:r>
      <w:r>
        <w:rPr>
          <w:rFonts w:ascii="Arial" w:cs="Arial" w:eastAsia="Arial" w:hAnsi="Arial"/>
        </w:rPr>
        <w:t xml:space="preserve"> La empresa adelanta a diciembre la compra de una máquina que necesitaba en febrero, para empezar a depreciarla un año antes.</w:t>
      </w:r>
    </w:p>
    <w:p>
      <w:pPr>
        <w:spacing w:after="120" w:line="276"/>
        <w:jc w:val="both"/>
      </w:pPr>
      <w:r>
        <w:rPr>
          <w:rFonts w:ascii="Arial" w:cs="Arial" w:eastAsia="Arial" w:hAnsi="Arial"/>
          <w:b/>
          <w:bCs/>
        </w:rPr>
        <w:t xml:space="preserve">5.</w:t>
      </w:r>
      <w:r>
        <w:rPr>
          <w:rFonts w:ascii="Arial" w:cs="Arial" w:eastAsia="Arial" w:hAnsi="Arial"/>
        </w:rPr>
        <w:t xml:space="preserve"> Una sociedad vende un inmueble a una sociedad vinculada a un precio muy inferior al comercial y esta lo revende al mes a un tercero a precio de mercado.</w:t>
      </w:r>
    </w:p>
    <w:p>
      <w:pPr>
        <w:spacing w:after="120" w:line="276"/>
        <w:jc w:val="both"/>
      </w:pPr>
      <w:r>
        <w:rPr>
          <w:rFonts w:ascii="Arial" w:cs="Arial" w:eastAsia="Arial" w:hAnsi="Arial"/>
        </w:rPr>
        <w:t xml:space="preserve">Para cada situación, clasifíquela y justifique con tres preguntas: ¿hay propósito de negocio? ¿Hay sustancia económica? ¿Se cumplen la letra y el espíritu de la norma?</w:t>
      </w:r>
    </w:p>
    <w:p>
      <w:pPr>
        <w:pStyle w:val="Heading1"/>
        <w:pageBreakBefore/>
      </w:pPr>
      <w:r>
        <w:rPr>
          <w:rFonts w:ascii="Arial" w:cs="Arial" w:eastAsia="Arial" w:hAnsi="Arial"/>
        </w:rPr>
        <w:t xml:space="preserve">Taller 2 · PESTEL con énfasis político-fiscal (sesión 2)</w:t>
      </w:r>
    </w:p>
    <w:p>
      <w:pPr>
        <w:spacing w:after="120" w:line="276"/>
        <w:jc w:val="both"/>
      </w:pPr>
      <w:r>
        <w:rPr>
          <w:rFonts w:ascii="Arial" w:cs="Arial" w:eastAsia="Arial" w:hAnsi="Arial"/>
          <w:b/>
          <w:bCs/>
        </w:rPr>
        <w:t xml:space="preserve">Formativo, en grupos.</w:t>
      </w:r>
      <w:r>
        <w:rPr>
          <w:rFonts w:ascii="Arial" w:cs="Arial" w:eastAsia="Arial" w:hAnsi="Arial"/>
        </w:rPr>
        <w:t xml:space="preserve"> Use la hoja S2_PESTEL del Excel.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</w:rPr>
        <w:t xml:space="preserve">Revise los diez factores precargados y ajuste las calificaciones si no está de acuerdo; justifique cada cambio.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</w:rPr>
        <w:t xml:space="preserve">Agregue al menos tres factores nuevos, uno de ellos político-fiscal, investigados en fuentes actuales (DIAN, Ministerio de Hacienda, Congreso, prensa especializada). Cite la fuente.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</w:rPr>
        <w:t xml:space="preserve">Identifique los tres factores críticos y redacte media página sobre su efecto en la estrategia de Alimentos La Sabana.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</w:rPr>
        <w:t xml:space="preserve">Para cada uno de los tres escenarios tributarios (estabilidad, reforma pro-inversión, reforma recaudatoria) proponga una acción. Señale cuál es una acción "sin arrepentimiento".</w:t>
      </w:r>
    </w:p>
    <w:p>
      <w:pPr>
        <w:pStyle w:val="Heading1"/>
        <w:pageBreakBefore/>
      </w:pPr>
      <w:r>
        <w:rPr>
          <w:rFonts w:ascii="Arial" w:cs="Arial" w:eastAsia="Arial" w:hAnsi="Arial"/>
        </w:rPr>
        <w:t xml:space="preserve">Taller 3 · Carga tributaria y cadena de valor (sesión 3)</w:t>
      </w:r>
    </w:p>
    <w:p>
      <w:pPr>
        <w:spacing w:after="120" w:line="276"/>
        <w:jc w:val="both"/>
      </w:pPr>
      <w:r>
        <w:rPr>
          <w:rFonts w:ascii="Arial" w:cs="Arial" w:eastAsia="Arial" w:hAnsi="Arial"/>
          <w:b/>
          <w:bCs/>
        </w:rPr>
        <w:t xml:space="preserve">Formativo, en grupos.</w:t>
      </w:r>
      <w:r>
        <w:rPr>
          <w:rFonts w:ascii="Arial" w:cs="Arial" w:eastAsia="Arial" w:hAnsi="Arial"/>
        </w:rPr>
        <w:t xml:space="preserve"> Use las hojas S3</w:t>
      </w:r>
      <w:r>
        <w:rPr>
          <w:rFonts w:ascii="Arial" w:cs="Arial" w:eastAsia="Arial" w:hAnsi="Arial"/>
          <w:i/>
          <w:iCs/>
        </w:rPr>
        <w:t xml:space="preserve">Carga y S3</w:t>
      </w:r>
      <w:r>
        <w:rPr>
          <w:rFonts w:ascii="Arial" w:cs="Arial" w:eastAsia="Arial" w:hAnsi="Arial"/>
        </w:rPr>
        <w:t xml:space="preserve">Cadena.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rPr>
          <w:rFonts w:ascii="Arial" w:cs="Arial" w:eastAsia="Arial" w:hAnsi="Arial"/>
        </w:rPr>
        <w:t xml:space="preserve">Calcule la carga tributaria asumida como porcentaje de los ingresos y de la utilidad antes de impuestos. Explique por qué la carga total es mucho mayor que el impuesto de renta.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rPr>
          <w:rFonts w:ascii="Arial" w:cs="Arial" w:eastAsia="Arial" w:hAnsi="Arial"/>
        </w:rPr>
        <w:t xml:space="preserve">Explique la diferencia entre impuestos asumidos y recaudados y por qué ambos importan para la estrategia.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rPr>
          <w:rFonts w:ascii="Arial" w:cs="Arial" w:eastAsia="Arial" w:hAnsi="Arial"/>
        </w:rPr>
        <w:t xml:space="preserve">En la cadena de valor, identifique las tres actividades con mayor prioridad (impacto × controlabilidad) y proponga una oportunidad lícita para cada una.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rPr>
          <w:rFonts w:ascii="Arial" w:cs="Arial" w:eastAsia="Arial" w:hAnsi="Arial"/>
        </w:rPr>
        <w:t xml:space="preserve">Califique la capacidad interna de la función tributaria (directiva, tecnológica, talento, financiera, competitiva) e identifique dos fortalezas y dos debilidades para la DOFA.</w:t>
      </w:r>
    </w:p>
    <w:p>
      <w:pPr>
        <w:pStyle w:val="Heading1"/>
        <w:pageBreakBefore/>
      </w:pPr>
      <w:r>
        <w:rPr>
          <w:rFonts w:ascii="Arial" w:cs="Arial" w:eastAsia="Arial" w:hAnsi="Arial"/>
        </w:rPr>
        <w:t xml:space="preserve">Taller evaluado · DOFA tributaria (sesión 4) · 30 %</w:t>
      </w:r>
    </w:p>
    <w:p>
      <w:pPr>
        <w:spacing w:after="120" w:line="276"/>
        <w:jc w:val="both"/>
      </w:pPr>
      <w:r>
        <w:rPr>
          <w:rFonts w:ascii="Arial" w:cs="Arial" w:eastAsia="Arial" w:hAnsi="Arial"/>
          <w:b/>
          <w:bCs/>
        </w:rPr>
        <w:t xml:space="preserve">En grupos de 3 o 4. Se desarrolla en clase y se entrega al final de la sesión 4.</w:t>
      </w:r>
    </w:p>
    <w:p>
      <w:pPr>
        <w:pStyle w:val="ListParagraph"/>
        <w:numPr>
          <w:ilvl w:val="0"/>
          <w:numId w:val="4"/>
        </w:numPr>
        <w:spacing w:after="60" w:line="264"/>
      </w:pPr>
      <w:r>
        <w:rPr>
          <w:rFonts w:ascii="Arial" w:cs="Arial" w:eastAsia="Arial" w:hAnsi="Arial"/>
        </w:rPr>
        <w:t xml:space="preserve">A partir de sus talleres 2 y 3, liste al menos cuatro oportunidades, cuatro amenazas, cuatro fortalezas y cuatro debilidades, con énfasis en la gestión fiscal de Alimentos La Sabana.</w:t>
      </w:r>
    </w:p>
    <w:p>
      <w:pPr>
        <w:pStyle w:val="ListParagraph"/>
        <w:numPr>
          <w:ilvl w:val="0"/>
          <w:numId w:val="4"/>
        </w:numPr>
        <w:spacing w:after="60" w:line="264"/>
      </w:pPr>
      <w:r>
        <w:rPr>
          <w:rFonts w:ascii="Arial" w:cs="Arial" w:eastAsia="Arial" w:hAnsi="Arial"/>
        </w:rPr>
        <w:t xml:space="preserve">Construya la DOFA cruzada con al menos una estrategia FO, una DO, una FA y una DA. Cada estrategia debe indicar su nivel (corporativo, de negocio o funcional) y su efecto tributario esperado.</w:t>
      </w:r>
    </w:p>
    <w:p>
      <w:pPr>
        <w:pStyle w:val="ListParagraph"/>
        <w:numPr>
          <w:ilvl w:val="0"/>
          <w:numId w:val="4"/>
        </w:numPr>
        <w:spacing w:after="60" w:line="264"/>
      </w:pPr>
      <w:r>
        <w:rPr>
          <w:rFonts w:ascii="Arial" w:cs="Arial" w:eastAsia="Arial" w:hAnsi="Arial"/>
        </w:rPr>
        <w:t xml:space="preserve">Evalúe las cuatro estrategias en la hoja S4_Seleccion: justifique los pesos y calificaciones y aplique el filtro de sustancia económica.</w:t>
      </w:r>
    </w:p>
    <w:p>
      <w:pPr>
        <w:pStyle w:val="ListParagraph"/>
        <w:numPr>
          <w:ilvl w:val="0"/>
          <w:numId w:val="4"/>
        </w:numPr>
        <w:spacing w:after="60" w:line="264"/>
      </w:pPr>
      <w:r>
        <w:rPr>
          <w:rFonts w:ascii="Arial" w:cs="Arial" w:eastAsia="Arial" w:hAnsi="Arial"/>
        </w:rPr>
        <w:t xml:space="preserve">Despliegue la estrategia seleccionada con APO (un objetivo corporativo y uno funcional tributario) y APP (un proyecto con alcance, plazo, responsable y entregable).</w:t>
      </w:r>
    </w:p>
    <w:p>
      <w:pPr>
        <w:pStyle w:val="Heading3"/>
      </w:pPr>
      <w:r>
        <w:rPr>
          <w:rFonts w:ascii="Arial" w:cs="Arial" w:eastAsia="Arial" w:hAnsi="Arial"/>
        </w:rPr>
        <w:t xml:space="preserve">Rúbrica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78"/>
        <w:gridCol w:w="755"/>
        <w:gridCol w:w="2456"/>
        <w:gridCol w:w="2267"/>
        <w:gridCol w:w="2082"/>
      </w:tblGrid>
      <w:tr>
        <w:trPr>
          <w:tblHeader/>
        </w:trPr>
        <w:tc>
          <w:tcPr>
            <w:tcW w:type="dxa" w:w="20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Criterio</w:t>
            </w:r>
          </w:p>
        </w:tc>
        <w:tc>
          <w:tcPr>
            <w:tcW w:type="dxa" w:w="7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Peso</w:t>
            </w:r>
          </w:p>
        </w:tc>
        <w:tc>
          <w:tcPr>
            <w:tcW w:type="dxa" w:w="24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Excelente (4,5–5,0)</w:t>
            </w:r>
          </w:p>
        </w:tc>
        <w:tc>
          <w:tcPr>
            <w:tcW w:type="dxa" w:w="226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Aceptable (3,0–4,4)</w:t>
            </w:r>
          </w:p>
        </w:tc>
        <w:tc>
          <w:tcPr>
            <w:tcW w:type="dxa" w:w="208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Insuficiente (&lt; 3,0)</w:t>
            </w:r>
          </w:p>
        </w:tc>
      </w:tr>
      <w:tr>
        <w:tc>
          <w:tcPr>
            <w:tcW w:type="dxa" w:w="20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Pertinencia del análisis</w:t>
            </w:r>
          </w:p>
        </w:tc>
        <w:tc>
          <w:tcPr>
            <w:tcW w:type="dxa" w:w="7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30 %</w:t>
            </w:r>
          </w:p>
        </w:tc>
        <w:tc>
          <w:tcPr>
            <w:tcW w:type="dxa" w:w="24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Factores relevantes, sustentados y con lente fiscal</w:t>
            </w:r>
          </w:p>
        </w:tc>
        <w:tc>
          <w:tcPr>
            <w:tcW w:type="dxa" w:w="226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Factores correctos pero genéricos</w:t>
            </w:r>
          </w:p>
        </w:tc>
        <w:tc>
          <w:tcPr>
            <w:tcW w:type="dxa" w:w="208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Listado sin relación con el caso</w:t>
            </w:r>
          </w:p>
        </w:tc>
      </w:tr>
      <w:tr>
        <w:tc>
          <w:tcPr>
            <w:tcW w:type="dxa" w:w="20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Conexión con el entorno normativo y estratégico</w:t>
            </w:r>
          </w:p>
        </w:tc>
        <w:tc>
          <w:tcPr>
            <w:tcW w:type="dxa" w:w="7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30 %</w:t>
            </w:r>
          </w:p>
        </w:tc>
        <w:tc>
          <w:tcPr>
            <w:tcW w:type="dxa" w:w="24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Las estrategias integran normas vigentes y objetivos de negocio</w:t>
            </w:r>
          </w:p>
        </w:tc>
        <w:tc>
          <w:tcPr>
            <w:tcW w:type="dxa" w:w="226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Integra solo uno de los dos</w:t>
            </w:r>
          </w:p>
        </w:tc>
        <w:tc>
          <w:tcPr>
            <w:tcW w:type="dxa" w:w="208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 integra la variable tributaria</w:t>
            </w:r>
          </w:p>
        </w:tc>
      </w:tr>
      <w:tr>
        <w:tc>
          <w:tcPr>
            <w:tcW w:type="dxa" w:w="20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Calidad de la selección</w:t>
            </w:r>
          </w:p>
        </w:tc>
        <w:tc>
          <w:tcPr>
            <w:tcW w:type="dxa" w:w="7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25 %</w:t>
            </w:r>
          </w:p>
        </w:tc>
        <w:tc>
          <w:tcPr>
            <w:tcW w:type="dxa" w:w="24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Criterios explícitos, filtro de sustancia y decisión coherente</w:t>
            </w:r>
          </w:p>
        </w:tc>
        <w:tc>
          <w:tcPr>
            <w:tcW w:type="dxa" w:w="226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Selección razonable sin criterios claros</w:t>
            </w:r>
          </w:p>
        </w:tc>
        <w:tc>
          <w:tcPr>
            <w:tcW w:type="dxa" w:w="208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Sin selección o arbitraria</w:t>
            </w:r>
          </w:p>
        </w:tc>
      </w:tr>
      <w:tr>
        <w:tc>
          <w:tcPr>
            <w:tcW w:type="dxa" w:w="20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Despliegue (APO y APP)</w:t>
            </w:r>
          </w:p>
        </w:tc>
        <w:tc>
          <w:tcPr>
            <w:tcW w:type="dxa" w:w="7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15 %</w:t>
            </w:r>
          </w:p>
        </w:tc>
        <w:tc>
          <w:tcPr>
            <w:tcW w:type="dxa" w:w="24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Objetivos medibles y proyecto completo</w:t>
            </w:r>
          </w:p>
        </w:tc>
        <w:tc>
          <w:tcPr>
            <w:tcW w:type="dxa" w:w="226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Incompleto</w:t>
            </w:r>
          </w:p>
        </w:tc>
        <w:tc>
          <w:tcPr>
            <w:tcW w:type="dxa" w:w="208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Ausente</w:t>
            </w:r>
          </w:p>
        </w:tc>
      </w:tr>
    </w:tbl>
    <w:p>
      <w:pPr>
        <w:spacing w:after="80"/>
      </w:pPr>
    </w:p>
    <w:p>
      <w:pPr>
        <w:pStyle w:val="Heading1"/>
        <w:pageBreakBefore/>
      </w:pPr>
      <w:r>
        <w:rPr>
          <w:rFonts w:ascii="Arial" w:cs="Arial" w:eastAsia="Arial" w:hAnsi="Arial"/>
        </w:rPr>
        <w:t xml:space="preserve">Caso evaluado · Decisión estratégica con impacto tributario (sesión 6) · 50 %</w:t>
      </w:r>
    </w:p>
    <w:p>
      <w:pPr>
        <w:spacing w:after="120" w:line="276"/>
        <w:jc w:val="both"/>
      </w:pPr>
      <w:r>
        <w:rPr>
          <w:rFonts w:ascii="Arial" w:cs="Arial" w:eastAsia="Arial" w:hAnsi="Arial"/>
          <w:b/>
          <w:bCs/>
        </w:rPr>
        <w:t xml:space="preserve">En grupos. Se presenta en la sesión 5 y se entrega una semana después de la sesión 6.</w:t>
      </w:r>
    </w:p>
    <w:p>
      <w:pPr>
        <w:pStyle w:val="Heading3"/>
      </w:pPr>
      <w:r>
        <w:rPr>
          <w:rFonts w:ascii="Arial" w:cs="Arial" w:eastAsia="Arial" w:hAnsi="Arial"/>
        </w:rPr>
        <w:t xml:space="preserve">Situación</w:t>
      </w:r>
    </w:p>
    <w:p>
      <w:pPr>
        <w:spacing w:after="120" w:line="276"/>
        <w:jc w:val="both"/>
      </w:pPr>
      <w:r>
        <w:rPr>
          <w:rFonts w:ascii="Arial" w:cs="Arial" w:eastAsia="Arial" w:hAnsi="Arial"/>
        </w:rPr>
        <w:t xml:space="preserve">Para llegar al 30 % de exportaciones, Alimentos La Sabana construirá una </w:t>
      </w:r>
      <w:r>
        <w:rPr>
          <w:rFonts w:ascii="Arial" w:cs="Arial" w:eastAsia="Arial" w:hAnsi="Arial"/>
          <w:b/>
          <w:bCs/>
        </w:rPr>
        <w:t xml:space="preserve">planta de pulpas para exportación</w:t>
      </w:r>
      <w:r>
        <w:rPr>
          <w:rFonts w:ascii="Arial" w:cs="Arial" w:eastAsia="Arial" w:hAnsi="Arial"/>
        </w:rPr>
        <w:t xml:space="preserve"> (inversión de $24.000 M; utilidad antes de costos adicionales de $7.500 M en 2027, con crecimiento de 5 % anual; tasa de descuento de 13 %). Tiene tres opciones de localización: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4"/>
        <w:gridCol w:w="3011"/>
        <w:gridCol w:w="5523"/>
      </w:tblGrid>
      <w:tr>
        <w:trPr>
          <w:tblHeader/>
        </w:trPr>
        <w:tc>
          <w:tcPr>
            <w:tcW w:type="dxa" w:w="110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Opción</w:t>
            </w:r>
          </w:p>
        </w:tc>
        <w:tc>
          <w:tcPr>
            <w:tcW w:type="dxa" w:w="3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Descripción</w:t>
            </w:r>
          </w:p>
        </w:tc>
        <w:tc>
          <w:tcPr>
            <w:tcW w:type="dxa" w:w="55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Supuestos tributarios y de costos</w:t>
            </w:r>
          </w:p>
        </w:tc>
      </w:tr>
      <w:tr>
        <w:tc>
          <w:tcPr>
            <w:tcW w:type="dxa" w:w="110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</w:t>
            </w:r>
          </w:p>
        </w:tc>
        <w:tc>
          <w:tcPr>
            <w:tcW w:type="dxa" w:w="3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Ampliar la planta de Mosquera</w:t>
            </w:r>
          </w:p>
        </w:tc>
        <w:tc>
          <w:tcPr>
            <w:tcW w:type="dxa" w:w="55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Régimen ordinario (35 %). Sin costos adicionales.</w:t>
            </w:r>
          </w:p>
        </w:tc>
      </w:tr>
      <w:tr>
        <w:tc>
          <w:tcPr>
            <w:tcW w:type="dxa" w:w="110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</w:t>
            </w:r>
          </w:p>
        </w:tc>
        <w:tc>
          <w:tcPr>
            <w:tcW w:type="dxa" w:w="3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Planta como usuario industrial de una zona franca</w:t>
            </w:r>
          </w:p>
        </w:tc>
        <w:tc>
          <w:tcPr>
            <w:tcW w:type="dxa" w:w="55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65 % de los ingresos serán exportaciones; 20 % sobre esa proporción de la renta y 35 % sobre el resto, si suscribe y cumple el PIAV cada año. Costos adicionales: $350 M al año.</w:t>
            </w:r>
          </w:p>
        </w:tc>
      </w:tr>
      <w:tr>
        <w:tc>
          <w:tcPr>
            <w:tcW w:type="dxa" w:w="110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</w:t>
            </w:r>
          </w:p>
        </w:tc>
        <w:tc>
          <w:tcPr>
            <w:tcW w:type="dxa" w:w="3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Sociedad nueva en un municipio ZOMAC</w:t>
            </w:r>
          </w:p>
        </w:tc>
        <w:tc>
          <w:tcPr>
            <w:tcW w:type="dxa" w:w="55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Gran empresa: 75 % de la tarifa general hasta 2027 y tarifa plena desde 2028. Sobrecostos logísticos: $1.200 M al año.</w:t>
            </w:r>
          </w:p>
        </w:tc>
      </w:tr>
    </w:tbl>
    <w:p>
      <w:pPr>
        <w:spacing w:after="80"/>
      </w:pPr>
    </w:p>
    <w:p>
      <w:pPr>
        <w:spacing w:after="120" w:line="276"/>
        <w:jc w:val="both"/>
      </w:pPr>
      <w:r>
        <w:rPr>
          <w:rFonts w:ascii="Arial" w:cs="Arial" w:eastAsia="Arial" w:hAnsi="Arial"/>
        </w:rPr>
        <w:t xml:space="preserve">Además, un comprador ofrece </w:t>
      </w:r>
      <w:r>
        <w:rPr>
          <w:rFonts w:ascii="Arial" w:cs="Arial" w:eastAsia="Arial" w:hAnsi="Arial"/>
          <w:b/>
          <w:bCs/>
        </w:rPr>
        <w:t xml:space="preserve">$16.000 M</w:t>
      </w:r>
      <w:r>
        <w:rPr>
          <w:rFonts w:ascii="Arial" w:cs="Arial" w:eastAsia="Arial" w:hAnsi="Arial"/>
        </w:rPr>
        <w:t xml:space="preserve"> por Panadería del Campo S.A.S. (costo fiscal de las acciones: $9.500 M, poseídas desde 2018). La alternativa es que la filial venda sus activos (costo fiscal: $8.000 M, que incluye $3.000 M de depreciación deducida).</w:t>
      </w:r>
    </w:p>
    <w:p>
      <w:pPr>
        <w:pStyle w:val="Heading3"/>
      </w:pPr>
      <w:r>
        <w:rPr>
          <w:rFonts w:ascii="Arial" w:cs="Arial" w:eastAsia="Arial" w:hAnsi="Arial"/>
        </w:rPr>
        <w:t xml:space="preserve">Preguntas</w:t>
      </w:r>
    </w:p>
    <w:p>
      <w:pPr>
        <w:pStyle w:val="ListParagraph"/>
        <w:numPr>
          <w:ilvl w:val="0"/>
          <w:numId w:val="5"/>
        </w:numPr>
        <w:spacing w:after="60" w:line="264"/>
      </w:pPr>
      <w:r>
        <w:rPr>
          <w:rFonts w:ascii="Arial" w:cs="Arial" w:eastAsia="Arial" w:hAnsi="Arial"/>
        </w:rPr>
        <w:t xml:space="preserve">Use la hoja S6_Localizacion para calcular el impuesto y el valor presente del flujo después de impuestos de cada opción. ¿Por qué la opción con menor impuesto en 2027 no es la que crea más valor?</w:t>
      </w:r>
    </w:p>
    <w:p>
      <w:pPr>
        <w:pStyle w:val="ListParagraph"/>
        <w:numPr>
          <w:ilvl w:val="0"/>
          <w:numId w:val="5"/>
        </w:numPr>
        <w:spacing w:after="60" w:line="264"/>
      </w:pPr>
      <w:r>
        <w:rPr>
          <w:rFonts w:ascii="Arial" w:cs="Arial" w:eastAsia="Arial" w:hAnsi="Arial"/>
        </w:rPr>
        <w:t xml:space="preserve">Analice el riesgo de incumplir el PIAV: ¿con qué probabilidad de incumplimiento deja de convenir la zona franca frente a ampliar en Mosquera? ¿Con qué participación de exportaciones?</w:t>
      </w:r>
    </w:p>
    <w:p>
      <w:pPr>
        <w:pStyle w:val="ListParagraph"/>
        <w:numPr>
          <w:ilvl w:val="0"/>
          <w:numId w:val="5"/>
        </w:numPr>
        <w:spacing w:after="60" w:line="264"/>
      </w:pPr>
      <w:r>
        <w:rPr>
          <w:rFonts w:ascii="Arial" w:cs="Arial" w:eastAsia="Arial" w:hAnsi="Arial"/>
        </w:rPr>
        <w:t xml:space="preserve">Complete la matriz multicriterio (S6_Multicriterio) con sus propios pesos y calificaciones, y justifíquelos.</w:t>
      </w:r>
    </w:p>
    <w:p>
      <w:pPr>
        <w:pStyle w:val="ListParagraph"/>
        <w:numPr>
          <w:ilvl w:val="0"/>
          <w:numId w:val="5"/>
        </w:numPr>
        <w:spacing w:after="60" w:line="264"/>
      </w:pPr>
      <w:r>
        <w:rPr>
          <w:rFonts w:ascii="Arial" w:cs="Arial" w:eastAsia="Arial" w:hAnsi="Arial"/>
        </w:rPr>
        <w:t xml:space="preserve">Explique por qué Alimentos La Sabana no puede usar el régimen SIMPLE para la nueva planta ni para la filial.</w:t>
      </w:r>
    </w:p>
    <w:p>
      <w:pPr>
        <w:pStyle w:val="ListParagraph"/>
        <w:numPr>
          <w:ilvl w:val="0"/>
          <w:numId w:val="5"/>
        </w:numPr>
        <w:spacing w:after="60" w:line="264"/>
      </w:pPr>
      <w:r>
        <w:rPr>
          <w:rFonts w:ascii="Arial" w:cs="Arial" w:eastAsia="Arial" w:hAnsi="Arial"/>
        </w:rPr>
        <w:t xml:space="preserve">Compare el impuesto de vender las acciones o los activos de la filial (S6_Desinversion). ¿Qué preferiría el comprador y por qué? ¿Recomienda vender? Considere también la estrategia, no solo el impuesto.</w:t>
      </w:r>
    </w:p>
    <w:p>
      <w:pPr>
        <w:pStyle w:val="ListParagraph"/>
        <w:numPr>
          <w:ilvl w:val="0"/>
          <w:numId w:val="5"/>
        </w:numPr>
        <w:spacing w:after="60" w:line="264"/>
      </w:pPr>
      <w:r>
        <w:rPr>
          <w:rFonts w:ascii="Arial" w:cs="Arial" w:eastAsia="Arial" w:hAnsi="Arial"/>
        </w:rPr>
        <w:t xml:space="preserve">Proponga cuatro indicadores del BSC para hacer seguimiento a las decisiones, con meta y responsable.</w:t>
      </w:r>
    </w:p>
    <w:p>
      <w:pPr>
        <w:pStyle w:val="ListParagraph"/>
        <w:numPr>
          <w:ilvl w:val="0"/>
          <w:numId w:val="5"/>
        </w:numPr>
        <w:spacing w:after="60" w:line="264"/>
      </w:pPr>
      <w:r>
        <w:rPr>
          <w:rFonts w:ascii="Arial" w:cs="Arial" w:eastAsia="Arial" w:hAnsi="Arial"/>
        </w:rPr>
        <w:t xml:space="preserve">Redacte una recomendación ejecutiva de máximo tres páginas para la junta.</w:t>
      </w:r>
    </w:p>
    <w:p>
      <w:pPr>
        <w:pStyle w:val="Heading3"/>
      </w:pPr>
      <w:r>
        <w:rPr>
          <w:rFonts w:ascii="Arial" w:cs="Arial" w:eastAsia="Arial" w:hAnsi="Arial"/>
        </w:rPr>
        <w:t xml:space="preserve">Rúbrica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78"/>
        <w:gridCol w:w="755"/>
        <w:gridCol w:w="2456"/>
        <w:gridCol w:w="2267"/>
        <w:gridCol w:w="2082"/>
      </w:tblGrid>
      <w:tr>
        <w:trPr>
          <w:tblHeader/>
        </w:trPr>
        <w:tc>
          <w:tcPr>
            <w:tcW w:type="dxa" w:w="20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Criterio</w:t>
            </w:r>
          </w:p>
        </w:tc>
        <w:tc>
          <w:tcPr>
            <w:tcW w:type="dxa" w:w="7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Peso</w:t>
            </w:r>
          </w:p>
        </w:tc>
        <w:tc>
          <w:tcPr>
            <w:tcW w:type="dxa" w:w="24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Excelente (4,5–5,0)</w:t>
            </w:r>
          </w:p>
        </w:tc>
        <w:tc>
          <w:tcPr>
            <w:tcW w:type="dxa" w:w="226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Aceptable (3,0–4,4)</w:t>
            </w:r>
          </w:p>
        </w:tc>
        <w:tc>
          <w:tcPr>
            <w:tcW w:type="dxa" w:w="208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Insuficiente (&lt; 3,0)</w:t>
            </w:r>
          </w:p>
        </w:tc>
      </w:tr>
      <w:tr>
        <w:tc>
          <w:tcPr>
            <w:tcW w:type="dxa" w:w="20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Pertinencia del análisis estratégico</w:t>
            </w:r>
          </w:p>
        </w:tc>
        <w:tc>
          <w:tcPr>
            <w:tcW w:type="dxa" w:w="7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30 %</w:t>
            </w:r>
          </w:p>
        </w:tc>
        <w:tc>
          <w:tcPr>
            <w:tcW w:type="dxa" w:w="24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Conecta la decisión con la visión, el PESTEL y la cadena de valor</w:t>
            </w:r>
          </w:p>
        </w:tc>
        <w:tc>
          <w:tcPr>
            <w:tcW w:type="dxa" w:w="226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Análisis correcto pero aislado</w:t>
            </w:r>
          </w:p>
        </w:tc>
        <w:tc>
          <w:tcPr>
            <w:tcW w:type="dxa" w:w="208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Sin análisis estratégico</w:t>
            </w:r>
          </w:p>
        </w:tc>
      </w:tr>
      <w:tr>
        <w:tc>
          <w:tcPr>
            <w:tcW w:type="dxa" w:w="20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Exactitud y comprensión tributaria</w:t>
            </w:r>
          </w:p>
        </w:tc>
        <w:tc>
          <w:tcPr>
            <w:tcW w:type="dxa" w:w="7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30 %</w:t>
            </w:r>
          </w:p>
        </w:tc>
        <w:tc>
          <w:tcPr>
            <w:tcW w:type="dxa" w:w="24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Cálculos correctos; explica reglas, riesgos y límites (PIAV, temporalidad ZOMAC, SIMPLE)</w:t>
            </w:r>
          </w:p>
        </w:tc>
        <w:tc>
          <w:tcPr>
            <w:tcW w:type="dxa" w:w="226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Cálculos correctos con explicación débil</w:t>
            </w:r>
          </w:p>
        </w:tc>
        <w:tc>
          <w:tcPr>
            <w:tcW w:type="dxa" w:w="208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Errores en reglas o cálculos</w:t>
            </w:r>
          </w:p>
        </w:tc>
      </w:tr>
      <w:tr>
        <w:tc>
          <w:tcPr>
            <w:tcW w:type="dxa" w:w="20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Integración y recomendación</w:t>
            </w:r>
          </w:p>
        </w:tc>
        <w:tc>
          <w:tcPr>
            <w:tcW w:type="dxa" w:w="7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30 %</w:t>
            </w:r>
          </w:p>
        </w:tc>
        <w:tc>
          <w:tcPr>
            <w:tcW w:type="dxa" w:w="24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Recomendación clara que pondera tributación, riesgo y factores no tributarios</w:t>
            </w:r>
          </w:p>
        </w:tc>
        <w:tc>
          <w:tcPr>
            <w:tcW w:type="dxa" w:w="226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Recomendación basada solo en el impuesto</w:t>
            </w:r>
          </w:p>
        </w:tc>
        <w:tc>
          <w:tcPr>
            <w:tcW w:type="dxa" w:w="208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Sin recomendación</w:t>
            </w:r>
          </w:p>
        </w:tc>
      </w:tr>
      <w:tr>
        <w:tc>
          <w:tcPr>
            <w:tcW w:type="dxa" w:w="20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Seguimiento y comunicación</w:t>
            </w:r>
          </w:p>
        </w:tc>
        <w:tc>
          <w:tcPr>
            <w:tcW w:type="dxa" w:w="7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10 %</w:t>
            </w:r>
          </w:p>
        </w:tc>
        <w:tc>
          <w:tcPr>
            <w:tcW w:type="dxa" w:w="24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Indicadores pertinentes; texto claro para la junta</w:t>
            </w:r>
          </w:p>
        </w:tc>
        <w:tc>
          <w:tcPr>
            <w:tcW w:type="dxa" w:w="226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Indicadores genéricos</w:t>
            </w:r>
          </w:p>
        </w:tc>
        <w:tc>
          <w:tcPr>
            <w:tcW w:type="dxa" w:w="208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Ausente</w:t>
            </w:r>
          </w:p>
        </w:tc>
      </w:tr>
    </w:tbl>
    <w:p>
      <w:pPr>
        <w:spacing w:after="80"/>
      </w:pPr>
    </w:p>
    <w:p>
      <w:pPr>
        <w:pStyle w:val="Heading1"/>
        <w:pageBreakBefore/>
      </w:pPr>
      <w:r>
        <w:rPr>
          <w:rFonts w:ascii="Arial" w:cs="Arial" w:eastAsia="Arial" w:hAnsi="Arial"/>
        </w:rPr>
        <w:t xml:space="preserve">Debate evaluado (sesión 6) · 20 %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1F3864" w:sz="12"/>
              <w:left w:val="single" w:color="BFBFBF" w:sz="4"/>
              <w:bottom w:val="single" w:color="BFBFBF" w:sz="4"/>
              <w:right w:val="single" w:color="BFBFBF" w:sz="4"/>
            </w:tcBorders>
            <w:shd w:fill="DEEAF6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F3864"/>
                <w:sz w:val="21"/>
                <w:szCs w:val="21"/>
              </w:rPr>
              <w:t xml:space="preserve">Moción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"La variable tributaria debe decidir la estrategia de la empresa, no solo ajustarla."</w:t>
            </w:r>
          </w:p>
        </w:tc>
      </w:tr>
    </w:tbl>
    <w:p>
      <w:pPr>
        <w:spacing w:after="80"/>
      </w:pPr>
    </w:p>
    <w:p>
      <w:pPr>
        <w:pStyle w:val="Heading3"/>
      </w:pPr>
      <w:r>
        <w:rPr>
          <w:rFonts w:ascii="Arial" w:cs="Arial" w:eastAsia="Arial" w:hAnsi="Arial"/>
        </w:rPr>
        <w:t xml:space="preserve">Roles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11"/>
        <w:gridCol w:w="6627"/>
      </w:tblGrid>
      <w:tr>
        <w:trPr>
          <w:tblHeader/>
        </w:trPr>
        <w:tc>
          <w:tcPr>
            <w:tcW w:type="dxa" w:w="3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Rol</w:t>
            </w:r>
          </w:p>
        </w:tc>
        <w:tc>
          <w:tcPr>
            <w:tcW w:type="dxa" w:w="66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Perspectiva que debe defender</w:t>
            </w:r>
          </w:p>
        </w:tc>
      </w:tr>
      <w:tr>
        <w:tc>
          <w:tcPr>
            <w:tcW w:type="dxa" w:w="3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Junta directiva</w:t>
            </w:r>
          </w:p>
        </w:tc>
        <w:tc>
          <w:tcPr>
            <w:tcW w:type="dxa" w:w="66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El valor de largo plazo y el riesgo; decide.</w:t>
            </w:r>
          </w:p>
        </w:tc>
      </w:tr>
      <w:tr>
        <w:tc>
          <w:tcPr>
            <w:tcW w:type="dxa" w:w="3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Director tributario</w:t>
            </w:r>
          </w:p>
        </w:tc>
        <w:tc>
          <w:tcPr>
            <w:tcW w:type="dxa" w:w="66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Las oportunidades legales y los límites del abuso tributario.</w:t>
            </w:r>
          </w:p>
        </w:tc>
      </w:tr>
      <w:tr>
        <w:tc>
          <w:tcPr>
            <w:tcW w:type="dxa" w:w="3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Gerente comercial</w:t>
            </w:r>
          </w:p>
        </w:tc>
        <w:tc>
          <w:tcPr>
            <w:tcW w:type="dxa" w:w="66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El mercado, los clientes y la logística.</w:t>
            </w:r>
          </w:p>
        </w:tc>
      </w:tr>
      <w:tr>
        <w:tc>
          <w:tcPr>
            <w:tcW w:type="dxa" w:w="3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DIAN</w:t>
            </w:r>
          </w:p>
        </w:tc>
        <w:tc>
          <w:tcPr>
            <w:tcW w:type="dxa" w:w="66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La sustancia económica, el cumplimiento y la cláusula antiabuso.</w:t>
            </w:r>
          </w:p>
        </w:tc>
      </w:tr>
      <w:tr>
        <w:tc>
          <w:tcPr>
            <w:tcW w:type="dxa" w:w="3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Alcaldía y comunidad del municipio</w:t>
            </w:r>
          </w:p>
        </w:tc>
        <w:tc>
          <w:tcPr>
            <w:tcW w:type="dxa" w:w="66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El empleo, el ICA y el impacto local de la decisión de localización.</w:t>
            </w:r>
          </w:p>
        </w:tc>
      </w:tr>
      <w:tr>
        <w:tc>
          <w:tcPr>
            <w:tcW w:type="dxa" w:w="30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Accionista minoritario</w:t>
            </w:r>
          </w:p>
        </w:tc>
        <w:tc>
          <w:tcPr>
            <w:tcW w:type="dxa" w:w="66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Los dividendos, la transparencia y el riesgo reputacional.</w:t>
            </w:r>
          </w:p>
        </w:tc>
      </w:tr>
    </w:tbl>
    <w:p>
      <w:pPr>
        <w:spacing w:after="80"/>
      </w:pPr>
    </w:p>
    <w:p>
      <w:pPr>
        <w:pStyle w:val="Heading3"/>
      </w:pPr>
      <w:r>
        <w:rPr>
          <w:rFonts w:ascii="Arial" w:cs="Arial" w:eastAsia="Arial" w:hAnsi="Arial"/>
        </w:rPr>
        <w:t xml:space="preserve">Reglas</w:t>
      </w:r>
    </w:p>
    <w:p>
      <w:pPr>
        <w:pStyle w:val="ListParagraph"/>
        <w:numPr>
          <w:ilvl w:val="0"/>
          <w:numId w:val="6"/>
        </w:numPr>
        <w:spacing w:after="60" w:line="264"/>
      </w:pPr>
      <w:r>
        <w:rPr>
          <w:rFonts w:ascii="Arial" w:cs="Arial" w:eastAsia="Arial" w:hAnsi="Arial"/>
        </w:rPr>
        <w:t xml:space="preserve">Apertura de 3 minutos por rol, una ronda de réplicas de 2 minutos y un cierre de 1 minuto.</w:t>
      </w:r>
    </w:p>
    <w:p>
      <w:pPr>
        <w:pStyle w:val="ListParagraph"/>
        <w:numPr>
          <w:ilvl w:val="0"/>
          <w:numId w:val="6"/>
        </w:numPr>
        <w:spacing w:after="60" w:line="264"/>
      </w:pPr>
      <w:r>
        <w:rPr>
          <w:rFonts w:ascii="Arial" w:cs="Arial" w:eastAsia="Arial" w:hAnsi="Arial"/>
        </w:rPr>
        <w:t xml:space="preserve">Cada intervención debe citar al menos un dato del caso o una norma vigente.</w:t>
      </w:r>
    </w:p>
    <w:p>
      <w:pPr>
        <w:pStyle w:val="Heading3"/>
      </w:pPr>
      <w:r>
        <w:rPr>
          <w:rFonts w:ascii="Arial" w:cs="Arial" w:eastAsia="Arial" w:hAnsi="Arial"/>
        </w:rPr>
        <w:t xml:space="preserve">Rúbrica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78"/>
        <w:gridCol w:w="755"/>
        <w:gridCol w:w="2456"/>
        <w:gridCol w:w="2267"/>
        <w:gridCol w:w="2082"/>
      </w:tblGrid>
      <w:tr>
        <w:trPr>
          <w:tblHeader/>
        </w:trPr>
        <w:tc>
          <w:tcPr>
            <w:tcW w:type="dxa" w:w="20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Criterio</w:t>
            </w:r>
          </w:p>
        </w:tc>
        <w:tc>
          <w:tcPr>
            <w:tcW w:type="dxa" w:w="7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Peso</w:t>
            </w:r>
          </w:p>
        </w:tc>
        <w:tc>
          <w:tcPr>
            <w:tcW w:type="dxa" w:w="24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Excelente (4,5–5,0)</w:t>
            </w:r>
          </w:p>
        </w:tc>
        <w:tc>
          <w:tcPr>
            <w:tcW w:type="dxa" w:w="226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Aceptable (3,0–4,4)</w:t>
            </w:r>
          </w:p>
        </w:tc>
        <w:tc>
          <w:tcPr>
            <w:tcW w:type="dxa" w:w="208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Insuficiente (&lt; 3,0)</w:t>
            </w:r>
          </w:p>
        </w:tc>
      </w:tr>
      <w:tr>
        <w:tc>
          <w:tcPr>
            <w:tcW w:type="dxa" w:w="20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Argumentación</w:t>
            </w:r>
          </w:p>
        </w:tc>
        <w:tc>
          <w:tcPr>
            <w:tcW w:type="dxa" w:w="7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40 %</w:t>
            </w:r>
          </w:p>
        </w:tc>
        <w:tc>
          <w:tcPr>
            <w:tcW w:type="dxa" w:w="24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Argumentos claros, con datos y normas</w:t>
            </w:r>
          </w:p>
        </w:tc>
        <w:tc>
          <w:tcPr>
            <w:tcW w:type="dxa" w:w="226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Argumentos correctos sin sustento</w:t>
            </w:r>
          </w:p>
        </w:tc>
        <w:tc>
          <w:tcPr>
            <w:tcW w:type="dxa" w:w="208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Opiniones sin argumento</w:t>
            </w:r>
          </w:p>
        </w:tc>
      </w:tr>
      <w:tr>
        <w:tc>
          <w:tcPr>
            <w:tcW w:type="dxa" w:w="20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Coherencia con el rol</w:t>
            </w:r>
          </w:p>
        </w:tc>
        <w:tc>
          <w:tcPr>
            <w:tcW w:type="dxa" w:w="7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25 %</w:t>
            </w:r>
          </w:p>
        </w:tc>
        <w:tc>
          <w:tcPr>
            <w:tcW w:type="dxa" w:w="24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Defiende el rol con matices</w:t>
            </w:r>
          </w:p>
        </w:tc>
        <w:tc>
          <w:tcPr>
            <w:tcW w:type="dxa" w:w="226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Defiende el rol de forma plana</w:t>
            </w:r>
          </w:p>
        </w:tc>
        <w:tc>
          <w:tcPr>
            <w:tcW w:type="dxa" w:w="208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 sale del rol</w:t>
            </w:r>
          </w:p>
        </w:tc>
      </w:tr>
      <w:tr>
        <w:tc>
          <w:tcPr>
            <w:tcW w:type="dxa" w:w="20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Réplica y escucha</w:t>
            </w:r>
          </w:p>
        </w:tc>
        <w:tc>
          <w:tcPr>
            <w:tcW w:type="dxa" w:w="7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25 %</w:t>
            </w:r>
          </w:p>
        </w:tc>
        <w:tc>
          <w:tcPr>
            <w:tcW w:type="dxa" w:w="24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Responde a los argumentos de los demás</w:t>
            </w:r>
          </w:p>
        </w:tc>
        <w:tc>
          <w:tcPr>
            <w:tcW w:type="dxa" w:w="226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Responde parcialmente</w:t>
            </w:r>
          </w:p>
        </w:tc>
        <w:tc>
          <w:tcPr>
            <w:tcW w:type="dxa" w:w="208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 responde</w:t>
            </w:r>
          </w:p>
        </w:tc>
      </w:tr>
      <w:tr>
        <w:tc>
          <w:tcPr>
            <w:tcW w:type="dxa" w:w="20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Ética y legalidad</w:t>
            </w:r>
          </w:p>
        </w:tc>
        <w:tc>
          <w:tcPr>
            <w:tcW w:type="dxa" w:w="7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10 %</w:t>
            </w:r>
          </w:p>
        </w:tc>
        <w:tc>
          <w:tcPr>
            <w:tcW w:type="dxa" w:w="24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Distingue planeación de abuso</w:t>
            </w:r>
          </w:p>
        </w:tc>
        <w:tc>
          <w:tcPr>
            <w:tcW w:type="dxa" w:w="226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 menciona</w:t>
            </w:r>
          </w:p>
        </w:tc>
        <w:tc>
          <w:tcPr>
            <w:tcW w:type="dxa" w:w="208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 ignora</w:t>
            </w:r>
          </w:p>
        </w:tc>
      </w:tr>
    </w:tbl>
    <w:p>
      <w:pPr>
        <w:spacing w:after="80"/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F7F7F"/>
        <w:sz w:val="16"/>
        <w:szCs w:val="16"/>
      </w:rPr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7F7F7F"/>
        <w:sz w:val="16"/>
        <w:szCs w:val="16"/>
      </w:rPr>
      <w:t xml:space="preserve">Planeación Estratégica · Talleres, caso y debate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  <w:lvl w:ilvl="1" w15:tentative="1">
      <w:start w:val="1"/>
      <w:numFmt w:val="bullet"/>
      <w:lvlText w:val="–"/>
      <w:lvlJc w:val="left"/>
      <w:pPr>
        <w:ind w:left="100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3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3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3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5"/>
    <w:lvlOverride w:ilvl="0">
      <w:startOverride w:val="1"/>
    </w:lvlOverride>
  </w:num>
  <w:num w:numId="4">
    <w:abstractNumId w:val="6"/>
    <w:lvlOverride w:ilvl="0">
      <w:startOverride w:val="1"/>
    </w:lvlOverride>
  </w:num>
  <w:num w:numId="5">
    <w:abstractNumId w:val="7"/>
    <w:lvlOverride w:ilvl="0">
      <w:startOverride w:val="1"/>
    </w:lvlOverride>
  </w:num>
  <w:num w:numId="6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120"/>
      <w:outlineLvl w:val="0"/>
    </w:pPr>
    <w:rPr>
      <w:rFonts w:ascii="Arial" w:cs="Arial" w:eastAsia="Arial" w:hAnsi="Arial"/>
      <w:b/>
      <w:bCs/>
      <w:color w:val="1F3864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olor w:val="1F3864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80" w:before="180"/>
      <w:outlineLvl w:val="2"/>
    </w:pPr>
    <w:rPr>
      <w:rFonts w:ascii="Arial" w:cs="Arial" w:eastAsia="Arial" w:hAnsi="Arial"/>
      <w:b/>
      <w:bCs/>
      <w:color w:val="C55A11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Planeación Estratégica · Talleres, caso y debate</dc:title>
  <dc:creator>Alexander Zamora</dc:creator>
  <cp:lastModifiedBy>Un-named</cp:lastModifiedBy>
  <cp:revision>1</cp:revision>
  <dcterms:created xsi:type="dcterms:W3CDTF">2026-10-11T19:22:22.346Z</dcterms:created>
  <dcterms:modified xsi:type="dcterms:W3CDTF">2026-10-11T19:22:22.347Z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