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pBdr>
          <w:bottom w:val="single" w:color="C55A11" w:sz="18" w:space="8"/>
        </w:pBdr>
        <w:spacing w:after="200"/>
        <w:jc w:val="left"/>
      </w:pPr>
      <w:r>
        <w:rPr>
          <w:rFonts w:ascii="Arial" w:cs="Arial" w:eastAsia="Arial" w:hAnsi="Arial"/>
          <w:b/>
          <w:bCs/>
          <w:color w:val="1F3864"/>
          <w:sz w:val="48"/>
          <w:szCs w:val="48"/>
        </w:rPr>
        <w:t xml:space="preserve">Matemáticas para la Toma de Decisiones</w:t>
      </w:r>
    </w:p>
    <w:p>
      <w:pPr>
        <w:spacing w:after="600"/>
      </w:pPr>
      <w:r>
        <w:rPr>
          <w:rFonts w:ascii="Arial" w:cs="Arial" w:eastAsia="Arial" w:hAnsi="Arial"/>
          <w:color w:val="404040"/>
          <w:sz w:val="28"/>
          <w:szCs w:val="28"/>
        </w:rPr>
        <w:t xml:space="preserve">Talleres y caso integrador</w:t>
      </w:r>
    </w:p>
    <w:p>
      <w:pPr>
        <w:spacing w:after="80"/>
      </w:pPr>
      <w:r>
        <w:rPr>
          <w:rFonts w:ascii="Arial" w:cs="Arial" w:eastAsia="Arial" w:hAnsi="Arial"/>
          <w:b/>
          <w:bCs/>
          <w:color w:val="404040"/>
          <w:sz w:val="22"/>
          <w:szCs w:val="22"/>
        </w:rPr>
        <w:t xml:space="preserve">Programa:</w:t>
      </w:r>
      <w:r>
        <w:rPr>
          <w:rFonts w:ascii="Arial" w:cs="Arial" w:eastAsia="Arial" w:hAnsi="Arial"/>
          <w:color w:val="404040"/>
          <w:sz w:val="22"/>
          <w:szCs w:val="22"/>
        </w:rPr>
        <w:t xml:space="preserve"> Especialización en Gerencia Financiera</w:t>
      </w:r>
    </w:p>
    <w:p>
      <w:pPr>
        <w:spacing w:after="80"/>
      </w:pPr>
      <w:r>
        <w:rPr>
          <w:rFonts w:ascii="Arial" w:cs="Arial" w:eastAsia="Arial" w:hAnsi="Arial"/>
          <w:b/>
          <w:bCs/>
          <w:color w:val="404040"/>
          <w:sz w:val="22"/>
          <w:szCs w:val="22"/>
        </w:rPr>
        <w:t xml:space="preserve">Docente:</w:t>
      </w:r>
      <w:r>
        <w:rPr>
          <w:rFonts w:ascii="Arial" w:cs="Arial" w:eastAsia="Arial" w:hAnsi="Arial"/>
          <w:color w:val="404040"/>
          <w:sz w:val="22"/>
          <w:szCs w:val="22"/>
        </w:rPr>
        <w:t xml:space="preserve"> Alexander Zamora</w:t>
      </w:r>
    </w:p>
    <w:p>
      <w:pPr>
        <w:spacing w:after="80"/>
      </w:pPr>
    </w:p>
    <w:p>
      <w:pPr>
        <w:spacing w:after="80"/>
      </w:pPr>
      <w:r>
        <w:rPr>
          <w:rFonts w:ascii="Arial" w:cs="Arial" w:eastAsia="Arial" w:hAnsi="Arial"/>
          <w:b/>
          <w:bCs/>
          <w:color w:val="404040"/>
          <w:sz w:val="22"/>
          <w:szCs w:val="22"/>
        </w:rPr>
        <w:t xml:space="preserve">Instrucciones generales:</w:t>
      </w:r>
      <w:r>
        <w:rPr>
          <w:rFonts w:ascii="Arial" w:cs="Arial" w:eastAsia="Arial" w:hAnsi="Arial"/>
          <w:color w:val="404040"/>
          <w:sz w:val="22"/>
          <w:szCs w:val="22"/>
        </w:rPr>
        <w:t xml:space="preserve"> resuelva cada ejercicio con fórmula y en Excel. Dibuje siempre la línea de tiempo. Entregue un único libro de Excel por taller, con una hoja por ejercicio y los supuestos separados de los cálculos.</w:t>
      </w:r>
    </w:p>
    <w:p>
      <w:pPr>
        <w:pStyle w:val="Heading1"/>
        <w:pageBreakBefore/>
      </w:pPr>
      <w:r>
        <w:rPr>
          <w:rFonts w:ascii="Arial" w:cs="Arial" w:eastAsia="Arial" w:hAnsi="Arial"/>
        </w:rPr>
        <w:t xml:space="preserve">Taller 1 · Tasas de interés y equivalencias</w:t>
      </w:r>
    </w:p>
    <w:p>
      <w:pPr>
        <w:spacing w:after="120" w:line="276"/>
        <w:jc w:val="both"/>
      </w:pPr>
      <w:r>
        <w:rPr>
          <w:rFonts w:ascii="Arial" w:cs="Arial" w:eastAsia="Arial" w:hAnsi="Arial"/>
          <w:b/>
          <w:bCs/>
        </w:rPr>
        <w:t xml:space="preserve">Se trabaja en:</w:t>
      </w:r>
      <w:r>
        <w:rPr>
          <w:rFonts w:ascii="Arial" w:cs="Arial" w:eastAsia="Arial" w:hAnsi="Arial"/>
        </w:rPr>
        <w:t xml:space="preserve"> Sesión 1 · </w:t>
      </w:r>
      <w:r>
        <w:rPr>
          <w:rFonts w:ascii="Arial" w:cs="Arial" w:eastAsia="Arial" w:hAnsi="Arial"/>
          <w:b/>
          <w:bCs/>
        </w:rPr>
        <w:t xml:space="preserve">Evaluación:</w:t>
      </w:r>
      <w:r>
        <w:rPr>
          <w:rFonts w:ascii="Arial" w:cs="Arial" w:eastAsia="Arial" w:hAnsi="Arial"/>
        </w:rPr>
        <w:t xml:space="preserve"> Momento 1 (junto con el Taller 2): 30 %</w:t>
      </w:r>
    </w:p>
    <w:p>
      <w:pPr>
        <w:pStyle w:val="Heading3"/>
      </w:pPr>
      <w:r>
        <w:rPr>
          <w:rFonts w:ascii="Arial" w:cs="Arial" w:eastAsia="Arial" w:hAnsi="Arial"/>
        </w:rPr>
        <w:t xml:space="preserve">Ejercicio 1. Interés simple y compuesto</w:t>
      </w:r>
    </w:p>
    <w:p>
      <w:pPr>
        <w:spacing w:after="120" w:line="276"/>
        <w:jc w:val="both"/>
      </w:pPr>
      <w:r>
        <w:rPr>
          <w:rFonts w:ascii="Arial" w:cs="Arial" w:eastAsia="Arial" w:hAnsi="Arial"/>
        </w:rPr>
        <w:t xml:space="preserve">Una empresa deposita </w:t>
      </w:r>
      <w:r>
        <w:rPr>
          <w:rFonts w:ascii="Arial" w:cs="Arial" w:eastAsia="Arial" w:hAnsi="Arial"/>
          <w:b/>
          <w:bCs/>
        </w:rPr>
        <w:t xml:space="preserve">$25.000.000</w:t>
      </w:r>
      <w:r>
        <w:rPr>
          <w:rFonts w:ascii="Arial" w:cs="Arial" w:eastAsia="Arial" w:hAnsi="Arial"/>
        </w:rPr>
        <w:t xml:space="preserve"> durante </w:t>
      </w:r>
      <w:r>
        <w:rPr>
          <w:rFonts w:ascii="Arial" w:cs="Arial" w:eastAsia="Arial" w:hAnsi="Arial"/>
          <w:b/>
          <w:bCs/>
        </w:rPr>
        <w:t xml:space="preserve">18 meses</w:t>
      </w:r>
      <w:r>
        <w:rPr>
          <w:rFonts w:ascii="Arial" w:cs="Arial" w:eastAsia="Arial" w:hAnsi="Arial"/>
        </w:rPr>
        <w:t xml:space="preserve"> a una tasa del </w:t>
      </w:r>
      <w:r>
        <w:rPr>
          <w:rFonts w:ascii="Arial" w:cs="Arial" w:eastAsia="Arial" w:hAnsi="Arial"/>
          <w:b/>
          <w:bCs/>
        </w:rPr>
        <w:t xml:space="preserve">1,2 % mensual</w:t>
      </w:r>
      <w:r>
        <w:rPr>
          <w:rFonts w:ascii="Arial" w:cs="Arial" w:eastAsia="Arial" w:hAnsi="Arial"/>
        </w:rPr>
        <w:t xml:space="preserve">.</w:t>
      </w:r>
    </w:p>
    <w:p>
      <w:pPr>
        <w:spacing w:after="120" w:line="276"/>
        <w:jc w:val="both"/>
      </w:pPr>
      <w:r>
        <w:rPr>
          <w:rFonts w:ascii="Arial" w:cs="Arial" w:eastAsia="Arial" w:hAnsi="Arial"/>
        </w:rPr>
        <w:t xml:space="preserve">a) Calcule el valor final con interés simple y con interés compuesto. b) Explique la diferencia.</w:t>
      </w:r>
    </w:p>
    <w:p>
      <w:pPr>
        <w:pStyle w:val="Heading3"/>
      </w:pPr>
      <w:r>
        <w:rPr>
          <w:rFonts w:ascii="Arial" w:cs="Arial" w:eastAsia="Arial" w:hAnsi="Arial"/>
        </w:rPr>
        <w:t xml:space="preserve">Ejercicio 2. Conversión de tasas</w:t>
      </w:r>
    </w:p>
    <w:p>
      <w:pPr>
        <w:spacing w:after="120" w:line="276"/>
        <w:jc w:val="both"/>
      </w:pPr>
      <w:r>
        <w:rPr>
          <w:rFonts w:ascii="Arial" w:cs="Arial" w:eastAsia="Arial" w:hAnsi="Arial"/>
        </w:rPr>
        <w:t xml:space="preserve">Convierta: a) 18 % N.T.V. a efectiva anual. b) 15 % E.A. a tasa mensual vencida y a N.M.V. c) 20 % N.S.A. (nominal semestre anticipado) a efectiva anual.</w:t>
      </w:r>
    </w:p>
    <w:p>
      <w:pPr>
        <w:pStyle w:val="Heading3"/>
      </w:pPr>
      <w:r>
        <w:rPr>
          <w:rFonts w:ascii="Arial" w:cs="Arial" w:eastAsia="Arial" w:hAnsi="Arial"/>
        </w:rPr>
        <w:t xml:space="preserve">Ejercicio 3. ¿Dónde invertir los excedentes?</w:t>
      </w:r>
    </w:p>
    <w:p>
      <w:pPr>
        <w:spacing w:after="120" w:line="276"/>
        <w:jc w:val="both"/>
      </w:pPr>
      <w:r>
        <w:rPr>
          <w:rFonts w:ascii="Arial" w:cs="Arial" w:eastAsia="Arial" w:hAnsi="Arial"/>
        </w:rPr>
        <w:t xml:space="preserve">Tostadora Andina tiene </w:t>
      </w:r>
      <w:r>
        <w:rPr>
          <w:rFonts w:ascii="Arial" w:cs="Arial" w:eastAsia="Arial" w:hAnsi="Arial"/>
          <w:b/>
          <w:bCs/>
        </w:rPr>
        <w:t xml:space="preserve">$80 millones</w:t>
      </w:r>
      <w:r>
        <w:rPr>
          <w:rFonts w:ascii="Arial" w:cs="Arial" w:eastAsia="Arial" w:hAnsi="Arial"/>
        </w:rPr>
        <w:t xml:space="preserve"> de excedentes de caja durante 6 meses. Recibe estas propuestas:</w:t>
      </w:r>
    </w:p>
    <w:p>
      <w:pPr>
        <w:spacing w:after="120" w:line="276"/>
        <w:jc w:val="both"/>
      </w:pPr>
      <w:r>
        <w:rPr>
          <w:rFonts w:ascii="Arial" w:cs="Arial" w:eastAsia="Arial" w:hAnsi="Arial"/>
        </w:rPr>
        <w:t xml:space="preserve">Banco 1: 10,5 % N.T.V. · Banco 2: 10,8 % E.A. · Banco 3: 10,2 % N.M.V. · Fiducia: 0,87 % mensual.</w:t>
      </w:r>
    </w:p>
    <w:p>
      <w:pPr>
        <w:spacing w:after="120" w:line="276"/>
        <w:jc w:val="both"/>
      </w:pPr>
      <w:r>
        <w:rPr>
          <w:rFonts w:ascii="Arial" w:cs="Arial" w:eastAsia="Arial" w:hAnsi="Arial"/>
        </w:rPr>
        <w:t xml:space="preserve">a) Ordénelas de mayor a menor rentabilidad efectiva anual. b) ¿Cuánto ganaría en 6 meses con la mejor? c) ¿Qué otros factores, además de la tasa, considera para decidir?</w:t>
      </w:r>
    </w:p>
    <w:p>
      <w:pPr>
        <w:pStyle w:val="Heading3"/>
      </w:pPr>
      <w:r>
        <w:rPr>
          <w:rFonts w:ascii="Arial" w:cs="Arial" w:eastAsia="Arial" w:hAnsi="Arial"/>
        </w:rPr>
        <w:t xml:space="preserve">Ejercicio 4. Tasa real</w:t>
      </w:r>
    </w:p>
    <w:p>
      <w:pPr>
        <w:spacing w:after="120" w:line="276"/>
        <w:jc w:val="both"/>
      </w:pPr>
      <w:r>
        <w:rPr>
          <w:rFonts w:ascii="Arial" w:cs="Arial" w:eastAsia="Arial" w:hAnsi="Arial"/>
        </w:rPr>
        <w:t xml:space="preserve">Un CDT paga </w:t>
      </w:r>
      <w:r>
        <w:rPr>
          <w:rFonts w:ascii="Arial" w:cs="Arial" w:eastAsia="Arial" w:hAnsi="Arial"/>
          <w:b/>
          <w:bCs/>
        </w:rPr>
        <w:t xml:space="preserve">10,8 % E.A.</w:t>
      </w:r>
      <w:r>
        <w:rPr>
          <w:rFonts w:ascii="Arial" w:cs="Arial" w:eastAsia="Arial" w:hAnsi="Arial"/>
        </w:rPr>
        <w:t xml:space="preserve"> y se espera una inflación de </w:t>
      </w:r>
      <w:r>
        <w:rPr>
          <w:rFonts w:ascii="Arial" w:cs="Arial" w:eastAsia="Arial" w:hAnsi="Arial"/>
          <w:b/>
          <w:bCs/>
        </w:rPr>
        <w:t xml:space="preserve">5,2 %</w:t>
      </w:r>
      <w:r>
        <w:rPr>
          <w:rFonts w:ascii="Arial" w:cs="Arial" w:eastAsia="Arial" w:hAnsi="Arial"/>
        </w:rPr>
        <w:t xml:space="preserve">. a) Calcule la tasa real. b) ¿Por qué no es correcto restar?</w:t>
      </w:r>
    </w:p>
    <w:p>
      <w:pPr>
        <w:pStyle w:val="Heading3"/>
      </w:pPr>
      <w:r>
        <w:rPr>
          <w:rFonts w:ascii="Arial" w:cs="Arial" w:eastAsia="Arial" w:hAnsi="Arial"/>
        </w:rPr>
        <w:t xml:space="preserve">Ejercicio 5. Ecuación de valor</w:t>
      </w:r>
    </w:p>
    <w:p>
      <w:pPr>
        <w:spacing w:after="120" w:line="276"/>
        <w:jc w:val="both"/>
      </w:pPr>
      <w:r>
        <w:rPr>
          <w:rFonts w:ascii="Arial" w:cs="Arial" w:eastAsia="Arial" w:hAnsi="Arial"/>
        </w:rPr>
        <w:t xml:space="preserve">Una empresa debe </w:t>
      </w:r>
      <w:r>
        <w:rPr>
          <w:rFonts w:ascii="Arial" w:cs="Arial" w:eastAsia="Arial" w:hAnsi="Arial"/>
          <w:b/>
          <w:bCs/>
        </w:rPr>
        <w:t xml:space="preserve">$20 millones en el mes 2</w:t>
      </w:r>
      <w:r>
        <w:rPr>
          <w:rFonts w:ascii="Arial" w:cs="Arial" w:eastAsia="Arial" w:hAnsi="Arial"/>
        </w:rPr>
        <w:t xml:space="preserve">, </w:t>
      </w:r>
      <w:r>
        <w:rPr>
          <w:rFonts w:ascii="Arial" w:cs="Arial" w:eastAsia="Arial" w:hAnsi="Arial"/>
          <w:b/>
          <w:bCs/>
        </w:rPr>
        <w:t xml:space="preserve">$35 millones en el mes 6</w:t>
      </w:r>
      <w:r>
        <w:rPr>
          <w:rFonts w:ascii="Arial" w:cs="Arial" w:eastAsia="Arial" w:hAnsi="Arial"/>
        </w:rPr>
        <w:t xml:space="preserve"> y </w:t>
      </w:r>
      <w:r>
        <w:rPr>
          <w:rFonts w:ascii="Arial" w:cs="Arial" w:eastAsia="Arial" w:hAnsi="Arial"/>
          <w:b/>
          <w:bCs/>
        </w:rPr>
        <w:t xml:space="preserve">$40 millones en el mes 12</w:t>
      </w:r>
      <w:r>
        <w:rPr>
          <w:rFonts w:ascii="Arial" w:cs="Arial" w:eastAsia="Arial" w:hAnsi="Arial"/>
        </w:rPr>
        <w:t xml:space="preserve">. Propone reemplazarlas por </w:t>
      </w:r>
      <w:r>
        <w:rPr>
          <w:rFonts w:ascii="Arial" w:cs="Arial" w:eastAsia="Arial" w:hAnsi="Arial"/>
          <w:b/>
          <w:bCs/>
        </w:rPr>
        <w:t xml:space="preserve">dos pagos iguales en los meses 8 y 10</w:t>
      </w:r>
      <w:r>
        <w:rPr>
          <w:rFonts w:ascii="Arial" w:cs="Arial" w:eastAsia="Arial" w:hAnsi="Arial"/>
        </w:rPr>
        <w:t xml:space="preserve">. La tasa es </w:t>
      </w:r>
      <w:r>
        <w:rPr>
          <w:rFonts w:ascii="Arial" w:cs="Arial" w:eastAsia="Arial" w:hAnsi="Arial"/>
          <w:b/>
          <w:bCs/>
        </w:rPr>
        <w:t xml:space="preserve">1,8 % mensual</w:t>
      </w:r>
      <w:r>
        <w:rPr>
          <w:rFonts w:ascii="Arial" w:cs="Arial" w:eastAsia="Arial" w:hAnsi="Arial"/>
        </w:rPr>
        <w:t xml:space="preserve">. Halle el valor de cada pago (use fecha focal en el mes 10 y compruebe con otra fecha focal).</w:t>
      </w:r>
    </w:p>
    <w:p>
      <w:pPr>
        <w:pStyle w:val="Heading1"/>
        <w:pageBreakBefore/>
      </w:pPr>
      <w:r>
        <w:rPr>
          <w:rFonts w:ascii="Arial" w:cs="Arial" w:eastAsia="Arial" w:hAnsi="Arial"/>
        </w:rPr>
        <w:t xml:space="preserve">Taller 2 · Anualidades y gradientes</w:t>
      </w:r>
    </w:p>
    <w:p>
      <w:pPr>
        <w:spacing w:after="120" w:line="276"/>
        <w:jc w:val="both"/>
      </w:pPr>
      <w:r>
        <w:rPr>
          <w:rFonts w:ascii="Arial" w:cs="Arial" w:eastAsia="Arial" w:hAnsi="Arial"/>
          <w:b/>
          <w:bCs/>
        </w:rPr>
        <w:t xml:space="preserve">Se trabaja en:</w:t>
      </w:r>
      <w:r>
        <w:rPr>
          <w:rFonts w:ascii="Arial" w:cs="Arial" w:eastAsia="Arial" w:hAnsi="Arial"/>
        </w:rPr>
        <w:t xml:space="preserve"> Sesión 2 · </w:t>
      </w:r>
      <w:r>
        <w:rPr>
          <w:rFonts w:ascii="Arial" w:cs="Arial" w:eastAsia="Arial" w:hAnsi="Arial"/>
          <w:b/>
          <w:bCs/>
        </w:rPr>
        <w:t xml:space="preserve">Evaluación:</w:t>
      </w:r>
      <w:r>
        <w:rPr>
          <w:rFonts w:ascii="Arial" w:cs="Arial" w:eastAsia="Arial" w:hAnsi="Arial"/>
        </w:rPr>
        <w:t xml:space="preserve"> Momento 1 (junto con el Taller 1): 30 %</w:t>
      </w:r>
    </w:p>
    <w:p>
      <w:pPr>
        <w:pStyle w:val="Heading3"/>
      </w:pPr>
      <w:r>
        <w:rPr>
          <w:rFonts w:ascii="Arial" w:cs="Arial" w:eastAsia="Arial" w:hAnsi="Arial"/>
        </w:rPr>
        <w:t xml:space="preserve">Ejercicio 1. Crédito de vehículo</w:t>
      </w:r>
    </w:p>
    <w:p>
      <w:pPr>
        <w:spacing w:after="120" w:line="276"/>
        <w:jc w:val="both"/>
      </w:pPr>
      <w:r>
        <w:rPr>
          <w:rFonts w:ascii="Arial" w:cs="Arial" w:eastAsia="Arial" w:hAnsi="Arial"/>
        </w:rPr>
        <w:t xml:space="preserve">Se financia un vehículo de reparto por </w:t>
      </w:r>
      <w:r>
        <w:rPr>
          <w:rFonts w:ascii="Arial" w:cs="Arial" w:eastAsia="Arial" w:hAnsi="Arial"/>
          <w:b/>
          <w:bCs/>
        </w:rPr>
        <w:t xml:space="preserve">$95 millones</w:t>
      </w:r>
      <w:r>
        <w:rPr>
          <w:rFonts w:ascii="Arial" w:cs="Arial" w:eastAsia="Arial" w:hAnsi="Arial"/>
        </w:rPr>
        <w:t xml:space="preserve"> a </w:t>
      </w:r>
      <w:r>
        <w:rPr>
          <w:rFonts w:ascii="Arial" w:cs="Arial" w:eastAsia="Arial" w:hAnsi="Arial"/>
          <w:b/>
          <w:bCs/>
        </w:rPr>
        <w:t xml:space="preserve">60 meses</w:t>
      </w:r>
      <w:r>
        <w:rPr>
          <w:rFonts w:ascii="Arial" w:cs="Arial" w:eastAsia="Arial" w:hAnsi="Arial"/>
        </w:rPr>
        <w:t xml:space="preserve"> con tasa de </w:t>
      </w:r>
      <w:r>
        <w:rPr>
          <w:rFonts w:ascii="Arial" w:cs="Arial" w:eastAsia="Arial" w:hAnsi="Arial"/>
          <w:b/>
          <w:bCs/>
        </w:rPr>
        <w:t xml:space="preserve">1,4 % mensual</w:t>
      </w:r>
      <w:r>
        <w:rPr>
          <w:rFonts w:ascii="Arial" w:cs="Arial" w:eastAsia="Arial" w:hAnsi="Arial"/>
        </w:rPr>
        <w:t xml:space="preserve">. a) Calcule la cuota. b) ¿Cuánto se debe justo después de pagar la cuota 24?</w:t>
      </w:r>
    </w:p>
    <w:p>
      <w:pPr>
        <w:pStyle w:val="Heading3"/>
      </w:pPr>
      <w:r>
        <w:rPr>
          <w:rFonts w:ascii="Arial" w:cs="Arial" w:eastAsia="Arial" w:hAnsi="Arial"/>
        </w:rPr>
        <w:t xml:space="preserve">Ejercicio 2. Anualidad anticipada</w:t>
      </w:r>
    </w:p>
    <w:p>
      <w:pPr>
        <w:spacing w:after="120" w:line="276"/>
        <w:jc w:val="both"/>
      </w:pPr>
      <w:r>
        <w:rPr>
          <w:rFonts w:ascii="Arial" w:cs="Arial" w:eastAsia="Arial" w:hAnsi="Arial"/>
        </w:rPr>
        <w:t xml:space="preserve">La póliza de seguros de la planta se paga en </w:t>
      </w:r>
      <w:r>
        <w:rPr>
          <w:rFonts w:ascii="Arial" w:cs="Arial" w:eastAsia="Arial" w:hAnsi="Arial"/>
          <w:b/>
          <w:bCs/>
        </w:rPr>
        <w:t xml:space="preserve">12 cuotas mensuales anticipadas de $1.800.000</w:t>
      </w:r>
      <w:r>
        <w:rPr>
          <w:rFonts w:ascii="Arial" w:cs="Arial" w:eastAsia="Arial" w:hAnsi="Arial"/>
        </w:rPr>
        <w:t xml:space="preserve">. Si la tasa de oportunidad es </w:t>
      </w:r>
      <w:r>
        <w:rPr>
          <w:rFonts w:ascii="Arial" w:cs="Arial" w:eastAsia="Arial" w:hAnsi="Arial"/>
          <w:b/>
          <w:bCs/>
        </w:rPr>
        <w:t xml:space="preserve">1,3 % mensual</w:t>
      </w:r>
      <w:r>
        <w:rPr>
          <w:rFonts w:ascii="Arial" w:cs="Arial" w:eastAsia="Arial" w:hAnsi="Arial"/>
        </w:rPr>
        <w:t xml:space="preserve">, ¿cuál es el valor de contado equivalente? ¿Cuánto se ahorra frente a la suma simple de las cuotas?</w:t>
      </w:r>
    </w:p>
    <w:p>
      <w:pPr>
        <w:pStyle w:val="Heading3"/>
      </w:pPr>
      <w:r>
        <w:rPr>
          <w:rFonts w:ascii="Arial" w:cs="Arial" w:eastAsia="Arial" w:hAnsi="Arial"/>
        </w:rPr>
        <w:t xml:space="preserve">Ejercicio 3. Plan de ahorro</w:t>
      </w:r>
    </w:p>
    <w:p>
      <w:pPr>
        <w:spacing w:after="120" w:line="276"/>
        <w:jc w:val="both"/>
      </w:pPr>
      <w:r>
        <w:rPr>
          <w:rFonts w:ascii="Arial" w:cs="Arial" w:eastAsia="Arial" w:hAnsi="Arial"/>
        </w:rPr>
        <w:t xml:space="preserve">La empresa ahorra </w:t>
      </w:r>
      <w:r>
        <w:rPr>
          <w:rFonts w:ascii="Arial" w:cs="Arial" w:eastAsia="Arial" w:hAnsi="Arial"/>
          <w:b/>
          <w:bCs/>
        </w:rPr>
        <w:t xml:space="preserve">$2.500.000 mensuales</w:t>
      </w:r>
      <w:r>
        <w:rPr>
          <w:rFonts w:ascii="Arial" w:cs="Arial" w:eastAsia="Arial" w:hAnsi="Arial"/>
        </w:rPr>
        <w:t xml:space="preserve"> al </w:t>
      </w:r>
      <w:r>
        <w:rPr>
          <w:rFonts w:ascii="Arial" w:cs="Arial" w:eastAsia="Arial" w:hAnsi="Arial"/>
          <w:b/>
          <w:bCs/>
        </w:rPr>
        <w:t xml:space="preserve">0,8 % mensual</w:t>
      </w:r>
      <w:r>
        <w:rPr>
          <w:rFonts w:ascii="Arial" w:cs="Arial" w:eastAsia="Arial" w:hAnsi="Arial"/>
        </w:rPr>
        <w:t xml:space="preserve">. a) ¿Cuánto tendrá al cabo de 36 meses? b) ¿Cuántos meses necesita para reunir $150 millones?</w:t>
      </w:r>
    </w:p>
    <w:p>
      <w:pPr>
        <w:pStyle w:val="Heading3"/>
      </w:pPr>
      <w:r>
        <w:rPr>
          <w:rFonts w:ascii="Arial" w:cs="Arial" w:eastAsia="Arial" w:hAnsi="Arial"/>
        </w:rPr>
        <w:t xml:space="preserve">Ejercicio 4. Anualidad diferida</w:t>
      </w:r>
    </w:p>
    <w:p>
      <w:pPr>
        <w:spacing w:after="120" w:line="276"/>
        <w:jc w:val="both"/>
      </w:pPr>
      <w:r>
        <w:rPr>
          <w:rFonts w:ascii="Arial" w:cs="Arial" w:eastAsia="Arial" w:hAnsi="Arial"/>
        </w:rPr>
        <w:t xml:space="preserve">Un crédito educativo de </w:t>
      </w:r>
      <w:r>
        <w:rPr>
          <w:rFonts w:ascii="Arial" w:cs="Arial" w:eastAsia="Arial" w:hAnsi="Arial"/>
          <w:b/>
          <w:bCs/>
        </w:rPr>
        <w:t xml:space="preserve">$40 millones</w:t>
      </w:r>
      <w:r>
        <w:rPr>
          <w:rFonts w:ascii="Arial" w:cs="Arial" w:eastAsia="Arial" w:hAnsi="Arial"/>
        </w:rPr>
        <w:t xml:space="preserve"> tiene </w:t>
      </w:r>
      <w:r>
        <w:rPr>
          <w:rFonts w:ascii="Arial" w:cs="Arial" w:eastAsia="Arial" w:hAnsi="Arial"/>
          <w:b/>
          <w:bCs/>
        </w:rPr>
        <w:t xml:space="preserve">6 meses de gracia</w:t>
      </w:r>
      <w:r>
        <w:rPr>
          <w:rFonts w:ascii="Arial" w:cs="Arial" w:eastAsia="Arial" w:hAnsi="Arial"/>
        </w:rPr>
        <w:t xml:space="preserve"> en los que los intereses se capitalizan, y luego se paga en </w:t>
      </w:r>
      <w:r>
        <w:rPr>
          <w:rFonts w:ascii="Arial" w:cs="Arial" w:eastAsia="Arial" w:hAnsi="Arial"/>
          <w:b/>
          <w:bCs/>
        </w:rPr>
        <w:t xml:space="preserve">24 cuotas mensuales iguales</w:t>
      </w:r>
      <w:r>
        <w:rPr>
          <w:rFonts w:ascii="Arial" w:cs="Arial" w:eastAsia="Arial" w:hAnsi="Arial"/>
        </w:rPr>
        <w:t xml:space="preserve">. Tasa: </w:t>
      </w:r>
      <w:r>
        <w:rPr>
          <w:rFonts w:ascii="Arial" w:cs="Arial" w:eastAsia="Arial" w:hAnsi="Arial"/>
          <w:b/>
          <w:bCs/>
        </w:rPr>
        <w:t xml:space="preserve">1,5 % mensual</w:t>
      </w:r>
      <w:r>
        <w:rPr>
          <w:rFonts w:ascii="Arial" w:cs="Arial" w:eastAsia="Arial" w:hAnsi="Arial"/>
        </w:rPr>
        <w:t xml:space="preserve">. Calcule la cuota.</w:t>
      </w:r>
    </w:p>
    <w:p>
      <w:pPr>
        <w:pStyle w:val="Heading3"/>
      </w:pPr>
      <w:r>
        <w:rPr>
          <w:rFonts w:ascii="Arial" w:cs="Arial" w:eastAsia="Arial" w:hAnsi="Arial"/>
        </w:rPr>
        <w:t xml:space="preserve">Ejercicio 5. Gradiente aritmético decreciente</w:t>
      </w:r>
    </w:p>
    <w:p>
      <w:pPr>
        <w:spacing w:after="120" w:line="276"/>
        <w:jc w:val="both"/>
      </w:pPr>
      <w:r>
        <w:rPr>
          <w:rFonts w:ascii="Arial" w:cs="Arial" w:eastAsia="Arial" w:hAnsi="Arial"/>
        </w:rPr>
        <w:t xml:space="preserve">Un proveedor ofrece un plan de </w:t>
      </w:r>
      <w:r>
        <w:rPr>
          <w:rFonts w:ascii="Arial" w:cs="Arial" w:eastAsia="Arial" w:hAnsi="Arial"/>
          <w:b/>
          <w:bCs/>
        </w:rPr>
        <w:t xml:space="preserve">24 pagos mensuales</w:t>
      </w:r>
      <w:r>
        <w:rPr>
          <w:rFonts w:ascii="Arial" w:cs="Arial" w:eastAsia="Arial" w:hAnsi="Arial"/>
        </w:rPr>
        <w:t xml:space="preserve">: el primero de </w:t>
      </w:r>
      <w:r>
        <w:rPr>
          <w:rFonts w:ascii="Arial" w:cs="Arial" w:eastAsia="Arial" w:hAnsi="Arial"/>
          <w:b/>
          <w:bCs/>
        </w:rPr>
        <w:t xml:space="preserve">$3.000.000</w:t>
      </w:r>
      <w:r>
        <w:rPr>
          <w:rFonts w:ascii="Arial" w:cs="Arial" w:eastAsia="Arial" w:hAnsi="Arial"/>
        </w:rPr>
        <w:t xml:space="preserve"> y cada uno </w:t>
      </w:r>
      <w:r>
        <w:rPr>
          <w:rFonts w:ascii="Arial" w:cs="Arial" w:eastAsia="Arial" w:hAnsi="Arial"/>
          <w:b/>
          <w:bCs/>
        </w:rPr>
        <w:t xml:space="preserve">$80.000 menor</w:t>
      </w:r>
      <w:r>
        <w:rPr>
          <w:rFonts w:ascii="Arial" w:cs="Arial" w:eastAsia="Arial" w:hAnsi="Arial"/>
        </w:rPr>
        <w:t xml:space="preserve"> que el anterior. Tasa: </w:t>
      </w:r>
      <w:r>
        <w:rPr>
          <w:rFonts w:ascii="Arial" w:cs="Arial" w:eastAsia="Arial" w:hAnsi="Arial"/>
          <w:b/>
          <w:bCs/>
        </w:rPr>
        <w:t xml:space="preserve">1,6 % mensual</w:t>
      </w:r>
      <w:r>
        <w:rPr>
          <w:rFonts w:ascii="Arial" w:cs="Arial" w:eastAsia="Arial" w:hAnsi="Arial"/>
        </w:rPr>
        <w:t xml:space="preserve">. a) ¿Cuál es el último pago? b) ¿Cuál es el valor presente del plan?</w:t>
      </w:r>
    </w:p>
    <w:p>
      <w:pPr>
        <w:pStyle w:val="Heading3"/>
      </w:pPr>
      <w:r>
        <w:rPr>
          <w:rFonts w:ascii="Arial" w:cs="Arial" w:eastAsia="Arial" w:hAnsi="Arial"/>
        </w:rPr>
        <w:t xml:space="preserve">Ejercicio 6. Gradiente geométrico</w:t>
      </w:r>
    </w:p>
    <w:p>
      <w:pPr>
        <w:spacing w:after="120" w:line="276"/>
        <w:jc w:val="both"/>
      </w:pPr>
      <w:r>
        <w:rPr>
          <w:rFonts w:ascii="Arial" w:cs="Arial" w:eastAsia="Arial" w:hAnsi="Arial"/>
        </w:rPr>
        <w:t xml:space="preserve">Un contrato de mantenimiento cuesta </w:t>
      </w:r>
      <w:r>
        <w:rPr>
          <w:rFonts w:ascii="Arial" w:cs="Arial" w:eastAsia="Arial" w:hAnsi="Arial"/>
          <w:b/>
          <w:bCs/>
        </w:rPr>
        <w:t xml:space="preserve">$4.000.000</w:t>
      </w:r>
      <w:r>
        <w:rPr>
          <w:rFonts w:ascii="Arial" w:cs="Arial" w:eastAsia="Arial" w:hAnsi="Arial"/>
        </w:rPr>
        <w:t xml:space="preserve"> el primer mes y se reajusta </w:t>
      </w:r>
      <w:r>
        <w:rPr>
          <w:rFonts w:ascii="Arial" w:cs="Arial" w:eastAsia="Arial" w:hAnsi="Arial"/>
          <w:b/>
          <w:bCs/>
        </w:rPr>
        <w:t xml:space="preserve">0,5 % mensual</w:t>
      </w:r>
      <w:r>
        <w:rPr>
          <w:rFonts w:ascii="Arial" w:cs="Arial" w:eastAsia="Arial" w:hAnsi="Arial"/>
        </w:rPr>
        <w:t xml:space="preserve"> durante </w:t>
      </w:r>
      <w:r>
        <w:rPr>
          <w:rFonts w:ascii="Arial" w:cs="Arial" w:eastAsia="Arial" w:hAnsi="Arial"/>
          <w:b/>
          <w:bCs/>
        </w:rPr>
        <w:t xml:space="preserve">48 meses</w:t>
      </w:r>
      <w:r>
        <w:rPr>
          <w:rFonts w:ascii="Arial" w:cs="Arial" w:eastAsia="Arial" w:hAnsi="Arial"/>
        </w:rPr>
        <w:t xml:space="preserve">. Tasa de oportunidad: </w:t>
      </w:r>
      <w:r>
        <w:rPr>
          <w:rFonts w:ascii="Arial" w:cs="Arial" w:eastAsia="Arial" w:hAnsi="Arial"/>
          <w:b/>
          <w:bCs/>
        </w:rPr>
        <w:t xml:space="preserve">1,2 % mensual</w:t>
      </w:r>
      <w:r>
        <w:rPr>
          <w:rFonts w:ascii="Arial" w:cs="Arial" w:eastAsia="Arial" w:hAnsi="Arial"/>
        </w:rPr>
        <w:t xml:space="preserve">. a) Valor presente del contrato. b) Valor de la última cuota. c) ¿Cuánto valdría si el contrato fuera indefinido?</w:t>
      </w:r>
    </w:p>
    <w:p>
      <w:pPr>
        <w:pStyle w:val="Heading1"/>
        <w:pageBreakBefore/>
      </w:pPr>
      <w:r>
        <w:rPr>
          <w:rFonts w:ascii="Arial" w:cs="Arial" w:eastAsia="Arial" w:hAnsi="Arial"/>
        </w:rPr>
        <w:t xml:space="preserve">Taller 3 · Amortización y apalancamiento (evaluable)</w:t>
      </w:r>
    </w:p>
    <w:p>
      <w:pPr>
        <w:spacing w:after="120" w:line="276"/>
        <w:jc w:val="both"/>
      </w:pPr>
      <w:r>
        <w:rPr>
          <w:rFonts w:ascii="Arial" w:cs="Arial" w:eastAsia="Arial" w:hAnsi="Arial"/>
          <w:b/>
          <w:bCs/>
        </w:rPr>
        <w:t xml:space="preserve">Se trabaja en:</w:t>
      </w:r>
      <w:r>
        <w:rPr>
          <w:rFonts w:ascii="Arial" w:cs="Arial" w:eastAsia="Arial" w:hAnsi="Arial"/>
        </w:rPr>
        <w:t xml:space="preserve"> Sesión 3 · </w:t>
      </w:r>
      <w:r>
        <w:rPr>
          <w:rFonts w:ascii="Arial" w:cs="Arial" w:eastAsia="Arial" w:hAnsi="Arial"/>
          <w:b/>
          <w:bCs/>
        </w:rPr>
        <w:t xml:space="preserve">Evaluación:</w:t>
      </w:r>
      <w:r>
        <w:rPr>
          <w:rFonts w:ascii="Arial" w:cs="Arial" w:eastAsia="Arial" w:hAnsi="Arial"/>
        </w:rPr>
        <w:t xml:space="preserve"> Momento 2: 30 %</w:t>
      </w:r>
    </w:p>
    <w:p>
      <w:pPr>
        <w:pStyle w:val="Heading3"/>
      </w:pPr>
      <w:r>
        <w:rPr>
          <w:rFonts w:ascii="Arial" w:cs="Arial" w:eastAsia="Arial" w:hAnsi="Arial"/>
        </w:rPr>
        <w:t xml:space="preserve">Ejercicio 1. Tasa del crédito</w:t>
      </w:r>
    </w:p>
    <w:p>
      <w:pPr>
        <w:spacing w:after="120" w:line="276"/>
        <w:jc w:val="both"/>
      </w:pPr>
      <w:r>
        <w:rPr>
          <w:rFonts w:ascii="Arial" w:cs="Arial" w:eastAsia="Arial" w:hAnsi="Arial"/>
        </w:rPr>
        <w:t xml:space="preserve">Una empresa toma un crédito de </w:t>
      </w:r>
      <w:r>
        <w:rPr>
          <w:rFonts w:ascii="Arial" w:cs="Arial" w:eastAsia="Arial" w:hAnsi="Arial"/>
          <w:b/>
          <w:bCs/>
        </w:rPr>
        <w:t xml:space="preserve">$350 millones</w:t>
      </w:r>
      <w:r>
        <w:rPr>
          <w:rFonts w:ascii="Arial" w:cs="Arial" w:eastAsia="Arial" w:hAnsi="Arial"/>
        </w:rPr>
        <w:t xml:space="preserve"> a </w:t>
      </w:r>
      <w:r>
        <w:rPr>
          <w:rFonts w:ascii="Arial" w:cs="Arial" w:eastAsia="Arial" w:hAnsi="Arial"/>
          <w:b/>
          <w:bCs/>
        </w:rPr>
        <w:t xml:space="preserve">5 años</w:t>
      </w:r>
      <w:r>
        <w:rPr>
          <w:rFonts w:ascii="Arial" w:cs="Arial" w:eastAsia="Arial" w:hAnsi="Arial"/>
        </w:rPr>
        <w:t xml:space="preserve"> con </w:t>
      </w:r>
      <w:r>
        <w:rPr>
          <w:rFonts w:ascii="Arial" w:cs="Arial" w:eastAsia="Arial" w:hAnsi="Arial"/>
          <w:b/>
          <w:bCs/>
        </w:rPr>
        <w:t xml:space="preserve">pagos trimestrales</w:t>
      </w:r>
      <w:r>
        <w:rPr>
          <w:rFonts w:ascii="Arial" w:cs="Arial" w:eastAsia="Arial" w:hAnsi="Arial"/>
        </w:rPr>
        <w:t xml:space="preserve"> y tasa del </w:t>
      </w:r>
      <w:r>
        <w:rPr>
          <w:rFonts w:ascii="Arial" w:cs="Arial" w:eastAsia="Arial" w:hAnsi="Arial"/>
          <w:b/>
          <w:bCs/>
        </w:rPr>
        <w:t xml:space="preserve">20 % E.A.</w:t>
      </w:r>
      <w:r>
        <w:rPr>
          <w:rFonts w:ascii="Arial" w:cs="Arial" w:eastAsia="Arial" w:hAnsi="Arial"/>
        </w:rPr>
        <w:t xml:space="preserve"> Calcule la tasa trimestral equivalente.</w:t>
      </w:r>
    </w:p>
    <w:p>
      <w:pPr>
        <w:pStyle w:val="Heading3"/>
      </w:pPr>
      <w:r>
        <w:rPr>
          <w:rFonts w:ascii="Arial" w:cs="Arial" w:eastAsia="Arial" w:hAnsi="Arial"/>
        </w:rPr>
        <w:t xml:space="preserve">Ejercicio 2. Cuota fija</w:t>
      </w:r>
    </w:p>
    <w:p>
      <w:pPr>
        <w:spacing w:after="120" w:line="276"/>
        <w:jc w:val="both"/>
      </w:pPr>
      <w:r>
        <w:rPr>
          <w:rFonts w:ascii="Arial" w:cs="Arial" w:eastAsia="Arial" w:hAnsi="Arial"/>
        </w:rPr>
        <w:t xml:space="preserve">Construya la tabla de amortización en cuota fija (20 cuotas trimestrales). Reporte la cuota, los intereses y el abono de la primera cuota, los intereses del primer año y el total de intereses.</w:t>
      </w:r>
    </w:p>
    <w:p>
      <w:pPr>
        <w:pStyle w:val="Heading3"/>
      </w:pPr>
      <w:r>
        <w:rPr>
          <w:rFonts w:ascii="Arial" w:cs="Arial" w:eastAsia="Arial" w:hAnsi="Arial"/>
        </w:rPr>
        <w:t xml:space="preserve">Ejercicio 3. Abono constante a capital</w:t>
      </w:r>
    </w:p>
    <w:p>
      <w:pPr>
        <w:spacing w:after="120" w:line="276"/>
        <w:jc w:val="both"/>
      </w:pPr>
      <w:r>
        <w:rPr>
          <w:rFonts w:ascii="Arial" w:cs="Arial" w:eastAsia="Arial" w:hAnsi="Arial"/>
        </w:rPr>
        <w:t xml:space="preserve">Construya la tabla con abono constante a capital. Reporte la primera y la última cuota, los intereses del primer año y el total de intereses.</w:t>
      </w:r>
    </w:p>
    <w:p>
      <w:pPr>
        <w:pStyle w:val="Heading3"/>
      </w:pPr>
      <w:r>
        <w:rPr>
          <w:rFonts w:ascii="Arial" w:cs="Arial" w:eastAsia="Arial" w:hAnsi="Arial"/>
        </w:rPr>
        <w:t xml:space="preserve">Ejercicio 4. Periodo de gracia</w:t>
      </w:r>
    </w:p>
    <w:p>
      <w:pPr>
        <w:spacing w:after="120" w:line="276"/>
        <w:jc w:val="both"/>
      </w:pPr>
      <w:r>
        <w:rPr>
          <w:rFonts w:ascii="Arial" w:cs="Arial" w:eastAsia="Arial" w:hAnsi="Arial"/>
        </w:rPr>
        <w:t xml:space="preserve">El banco ofrece </w:t>
      </w:r>
      <w:r>
        <w:rPr>
          <w:rFonts w:ascii="Arial" w:cs="Arial" w:eastAsia="Arial" w:hAnsi="Arial"/>
          <w:b/>
          <w:bCs/>
        </w:rPr>
        <w:t xml:space="preserve">un año de gracia</w:t>
      </w:r>
      <w:r>
        <w:rPr>
          <w:rFonts w:ascii="Arial" w:cs="Arial" w:eastAsia="Arial" w:hAnsi="Arial"/>
        </w:rPr>
        <w:t xml:space="preserve"> (4 trimestres) pagando solo intereses y luego </w:t>
      </w:r>
      <w:r>
        <w:rPr>
          <w:rFonts w:ascii="Arial" w:cs="Arial" w:eastAsia="Arial" w:hAnsi="Arial"/>
          <w:b/>
          <w:bCs/>
        </w:rPr>
        <w:t xml:space="preserve">16 cuotas fijas</w:t>
      </w:r>
      <w:r>
        <w:rPr>
          <w:rFonts w:ascii="Arial" w:cs="Arial" w:eastAsia="Arial" w:hAnsi="Arial"/>
        </w:rPr>
        <w:t xml:space="preserve">. Calcule las cuotas y el total de intereses.</w:t>
      </w:r>
    </w:p>
    <w:p>
      <w:pPr>
        <w:pStyle w:val="Heading3"/>
      </w:pPr>
      <w:r>
        <w:rPr>
          <w:rFonts w:ascii="Arial" w:cs="Arial" w:eastAsia="Arial" w:hAnsi="Arial"/>
        </w:rPr>
        <w:t xml:space="preserve">Ejercicio 5. ¿Cuál sistema es más barato?</w:t>
      </w:r>
    </w:p>
    <w:p>
      <w:pPr>
        <w:spacing w:after="120" w:line="276"/>
        <w:jc w:val="both"/>
      </w:pPr>
      <w:r>
        <w:rPr>
          <w:rFonts w:ascii="Arial" w:cs="Arial" w:eastAsia="Arial" w:hAnsi="Arial"/>
        </w:rPr>
        <w:t xml:space="preserve">El gerente afirma que el abono constante es "el más barato" porque paga menos intereses. Demuestre en Excel, calculando el valor presente de las cuotas de cada sistema, si tiene razón, y explique qué criterio usaría para elegir.</w:t>
      </w:r>
    </w:p>
    <w:p>
      <w:pPr>
        <w:pStyle w:val="Heading3"/>
      </w:pPr>
      <w:r>
        <w:rPr>
          <w:rFonts w:ascii="Arial" w:cs="Arial" w:eastAsia="Arial" w:hAnsi="Arial"/>
        </w:rPr>
        <w:t xml:space="preserve">Ejercicio 6. Escudo fiscal</w:t>
      </w:r>
    </w:p>
    <w:p>
      <w:pPr>
        <w:spacing w:after="120" w:line="276"/>
        <w:jc w:val="both"/>
      </w:pPr>
      <w:r>
        <w:rPr>
          <w:rFonts w:ascii="Arial" w:cs="Arial" w:eastAsia="Arial" w:hAnsi="Arial"/>
        </w:rPr>
        <w:t xml:space="preserve">Con una tarifa de renta de </w:t>
      </w:r>
      <w:r>
        <w:rPr>
          <w:rFonts w:ascii="Arial" w:cs="Arial" w:eastAsia="Arial" w:hAnsi="Arial"/>
          <w:b/>
          <w:bCs/>
        </w:rPr>
        <w:t xml:space="preserve">35 %</w:t>
      </w:r>
      <w:r>
        <w:rPr>
          <w:rFonts w:ascii="Arial" w:cs="Arial" w:eastAsia="Arial" w:hAnsi="Arial"/>
        </w:rPr>
        <w:t xml:space="preserve">, calcule el ahorro tributario por intereses del primer año en cada sistema.</w:t>
      </w:r>
    </w:p>
    <w:p>
      <w:pPr>
        <w:pStyle w:val="Heading3"/>
      </w:pPr>
      <w:r>
        <w:rPr>
          <w:rFonts w:ascii="Arial" w:cs="Arial" w:eastAsia="Arial" w:hAnsi="Arial"/>
        </w:rPr>
        <w:t xml:space="preserve">Ejercicio 7. Apalancamiento</w:t>
      </w:r>
    </w:p>
    <w:p>
      <w:pPr>
        <w:spacing w:after="120" w:line="276"/>
        <w:jc w:val="both"/>
      </w:pPr>
      <w:r>
        <w:rPr>
          <w:rFonts w:ascii="Arial" w:cs="Arial" w:eastAsia="Arial" w:hAnsi="Arial"/>
        </w:rPr>
        <w:t xml:space="preserve">La empresa tiene activos por </w:t>
      </w:r>
      <w:r>
        <w:rPr>
          <w:rFonts w:ascii="Arial" w:cs="Arial" w:eastAsia="Arial" w:hAnsi="Arial"/>
          <w:b/>
          <w:bCs/>
        </w:rPr>
        <w:t xml:space="preserve">$1.000 millones</w:t>
      </w:r>
      <w:r>
        <w:rPr>
          <w:rFonts w:ascii="Arial" w:cs="Arial" w:eastAsia="Arial" w:hAnsi="Arial"/>
        </w:rPr>
        <w:t xml:space="preserve">. Puede financiarse 100 % con patrimonio o tomar el crédito de </w:t>
      </w:r>
      <w:r>
        <w:rPr>
          <w:rFonts w:ascii="Arial" w:cs="Arial" w:eastAsia="Arial" w:hAnsi="Arial"/>
          <w:b/>
          <w:bCs/>
        </w:rPr>
        <w:t xml:space="preserve">$350 millones</w:t>
      </w:r>
      <w:r>
        <w:rPr>
          <w:rFonts w:ascii="Arial" w:cs="Arial" w:eastAsia="Arial" w:hAnsi="Arial"/>
        </w:rPr>
        <w:t xml:space="preserve"> (20 % E.A.) y poner $650 millones de patrimonio. Calcule el ROE en ambos casos si: a) la UODI es </w:t>
      </w:r>
      <w:r>
        <w:rPr>
          <w:rFonts w:ascii="Arial" w:cs="Arial" w:eastAsia="Arial" w:hAnsi="Arial"/>
          <w:b/>
          <w:bCs/>
        </w:rPr>
        <w:t xml:space="preserve">$180 millones</w:t>
      </w:r>
      <w:r>
        <w:rPr>
          <w:rFonts w:ascii="Arial" w:cs="Arial" w:eastAsia="Arial" w:hAnsi="Arial"/>
        </w:rPr>
        <w:t xml:space="preserve">; b) la UODI cae a </w:t>
      </w:r>
      <w:r>
        <w:rPr>
          <w:rFonts w:ascii="Arial" w:cs="Arial" w:eastAsia="Arial" w:hAnsi="Arial"/>
          <w:b/>
          <w:bCs/>
        </w:rPr>
        <w:t xml:space="preserve">$110 millones</w:t>
      </w:r>
      <w:r>
        <w:rPr>
          <w:rFonts w:ascii="Arial" w:cs="Arial" w:eastAsia="Arial" w:hAnsi="Arial"/>
        </w:rPr>
        <w:t xml:space="preserve">. Concluya.</w:t>
      </w:r>
    </w:p>
    <w:p>
      <w:pPr>
        <w:pStyle w:val="Heading3"/>
      </w:pPr>
      <w:r>
        <w:rPr>
          <w:rFonts w:ascii="Arial" w:cs="Arial" w:eastAsia="Arial" w:hAnsi="Arial"/>
        </w:rPr>
        <w:t xml:space="preserve">Ejercicio 8. Fondo de amortización</w:t>
      </w:r>
    </w:p>
    <w:p>
      <w:pPr>
        <w:spacing w:after="120" w:line="276"/>
        <w:jc w:val="both"/>
      </w:pPr>
      <w:r>
        <w:rPr>
          <w:rFonts w:ascii="Arial" w:cs="Arial" w:eastAsia="Arial" w:hAnsi="Arial"/>
        </w:rPr>
        <w:t xml:space="preserve">Si en lugar de amortizar el crédito se pactara pagar el capital completo al final (con intereses trimestrales), ¿cuánto debería depositar la empresa cada trimestre en un fondo que renta igual que el crédito para reunir los $350 millones?</w:t>
      </w:r>
    </w:p>
    <w:p>
      <w:pPr>
        <w:pStyle w:val="Heading3"/>
      </w:pPr>
      <w:r>
        <w:rPr>
          <w:rFonts w:ascii="Arial" w:cs="Arial" w:eastAsia="Arial" w:hAnsi="Arial"/>
        </w:rPr>
        <w:t xml:space="preserve">Rúbrica de evaluación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78"/>
        <w:gridCol w:w="755"/>
        <w:gridCol w:w="2456"/>
        <w:gridCol w:w="2267"/>
        <w:gridCol w:w="2082"/>
      </w:tblGrid>
      <w:tr>
        <w:trPr>
          <w:tblHeader/>
        </w:trPr>
        <w:tc>
          <w:tcPr>
            <w:tcW w:type="dxa" w:w="2078"/>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Criterio</w:t>
            </w:r>
          </w:p>
        </w:tc>
        <w:tc>
          <w:tcPr>
            <w:tcW w:type="dxa" w:w="755"/>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Peso</w:t>
            </w:r>
          </w:p>
        </w:tc>
        <w:tc>
          <w:tcPr>
            <w:tcW w:type="dxa" w:w="2456"/>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Excelente (4,5–5,0)</w:t>
            </w:r>
          </w:p>
        </w:tc>
        <w:tc>
          <w:tcPr>
            <w:tcW w:type="dxa" w:w="2267"/>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Aceptable (3,0–4,4)</w:t>
            </w:r>
          </w:p>
        </w:tc>
        <w:tc>
          <w:tcPr>
            <w:tcW w:type="dxa" w:w="208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Insuficiente (&lt; 3,0)</w:t>
            </w:r>
          </w:p>
        </w:tc>
      </w:tr>
      <w:tr>
        <w:tc>
          <w:tcPr>
            <w:tcW w:type="dxa" w:w="20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Exactitud de cálculos y tablas</w:t>
            </w:r>
          </w:p>
        </w:tc>
        <w:tc>
          <w:tcPr>
            <w:tcW w:type="dxa" w:w="7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40 %</w:t>
            </w:r>
          </w:p>
        </w:tc>
        <w:tc>
          <w:tcPr>
            <w:tcW w:type="dxa" w:w="24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Tablas correctas, saldo final cero, funciones bien usadas</w:t>
            </w:r>
          </w:p>
        </w:tc>
        <w:tc>
          <w:tcPr>
            <w:tcW w:type="dxa" w:w="226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Errores menores que no cambian conclusiones</w:t>
            </w:r>
          </w:p>
        </w:tc>
        <w:tc>
          <w:tcPr>
            <w:tcW w:type="dxa" w:w="20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Errores de tasa o de estructura</w:t>
            </w:r>
          </w:p>
        </w:tc>
      </w:tr>
      <w:tr>
        <w:tc>
          <w:tcPr>
            <w:tcW w:type="dxa" w:w="207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Comparación de sistemas</w:t>
            </w:r>
          </w:p>
        </w:tc>
        <w:tc>
          <w:tcPr>
            <w:tcW w:type="dxa" w:w="75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25 %</w:t>
            </w:r>
          </w:p>
        </w:tc>
        <w:tc>
          <w:tcPr>
            <w:tcW w:type="dxa" w:w="2456"/>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Demuestra la equivalencia en VP y propone un criterio de caja</w:t>
            </w:r>
          </w:p>
        </w:tc>
        <w:tc>
          <w:tcPr>
            <w:tcW w:type="dxa" w:w="2267"/>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Compara solo totales de intereses</w:t>
            </w:r>
          </w:p>
        </w:tc>
        <w:tc>
          <w:tcPr>
            <w:tcW w:type="dxa" w:w="208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Sin comparación</w:t>
            </w:r>
          </w:p>
        </w:tc>
      </w:tr>
      <w:tr>
        <w:tc>
          <w:tcPr>
            <w:tcW w:type="dxa" w:w="20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Apalancamiento y escudo fiscal</w:t>
            </w:r>
          </w:p>
        </w:tc>
        <w:tc>
          <w:tcPr>
            <w:tcW w:type="dxa" w:w="7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25 %</w:t>
            </w:r>
          </w:p>
        </w:tc>
        <w:tc>
          <w:tcPr>
            <w:tcW w:type="dxa" w:w="24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Interpreta ROIC vs. Kd neto y el riesgo</w:t>
            </w:r>
          </w:p>
        </w:tc>
        <w:tc>
          <w:tcPr>
            <w:tcW w:type="dxa" w:w="226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Calcula sin interpretar</w:t>
            </w:r>
          </w:p>
        </w:tc>
        <w:tc>
          <w:tcPr>
            <w:tcW w:type="dxa" w:w="20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No lo desarrolla</w:t>
            </w:r>
          </w:p>
        </w:tc>
      </w:tr>
      <w:tr>
        <w:tc>
          <w:tcPr>
            <w:tcW w:type="dxa" w:w="207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Presentación del Excel</w:t>
            </w:r>
          </w:p>
        </w:tc>
        <w:tc>
          <w:tcPr>
            <w:tcW w:type="dxa" w:w="75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10 %</w:t>
            </w:r>
          </w:p>
        </w:tc>
        <w:tc>
          <w:tcPr>
            <w:tcW w:type="dxa" w:w="2456"/>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Supuestos separados, fórmulas trazables</w:t>
            </w:r>
          </w:p>
        </w:tc>
        <w:tc>
          <w:tcPr>
            <w:tcW w:type="dxa" w:w="2267"/>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Ordenado pero con valores fijos</w:t>
            </w:r>
          </w:p>
        </w:tc>
        <w:tc>
          <w:tcPr>
            <w:tcW w:type="dxa" w:w="208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Desordenado</w:t>
            </w:r>
          </w:p>
        </w:tc>
      </w:tr>
    </w:tbl>
    <w:p>
      <w:pPr>
        <w:spacing w:after="80"/>
      </w:pPr>
    </w:p>
    <w:p>
      <w:pPr>
        <w:pStyle w:val="Heading1"/>
        <w:pageBreakBefore/>
      </w:pPr>
      <w:r>
        <w:rPr>
          <w:rFonts w:ascii="Arial" w:cs="Arial" w:eastAsia="Arial" w:hAnsi="Arial"/>
        </w:rPr>
        <w:t xml:space="preserve">Caso integrador · Decisión de inversión (evaluable)</w:t>
      </w:r>
    </w:p>
    <w:p>
      <w:pPr>
        <w:spacing w:after="120" w:line="276"/>
        <w:jc w:val="both"/>
      </w:pPr>
      <w:r>
        <w:rPr>
          <w:rFonts w:ascii="Arial" w:cs="Arial" w:eastAsia="Arial" w:hAnsi="Arial"/>
          <w:b/>
          <w:bCs/>
        </w:rPr>
        <w:t xml:space="preserve">Se presenta en:</w:t>
      </w:r>
      <w:r>
        <w:rPr>
          <w:rFonts w:ascii="Arial" w:cs="Arial" w:eastAsia="Arial" w:hAnsi="Arial"/>
        </w:rPr>
        <w:t xml:space="preserve"> Sesión 4 · </w:t>
      </w:r>
      <w:r>
        <w:rPr>
          <w:rFonts w:ascii="Arial" w:cs="Arial" w:eastAsia="Arial" w:hAnsi="Arial"/>
          <w:b/>
          <w:bCs/>
        </w:rPr>
        <w:t xml:space="preserve">Evaluación:</w:t>
      </w:r>
      <w:r>
        <w:rPr>
          <w:rFonts w:ascii="Arial" w:cs="Arial" w:eastAsia="Arial" w:hAnsi="Arial"/>
        </w:rPr>
        <w:t xml:space="preserve"> Momento 3: 40 % · </w:t>
      </w:r>
      <w:r>
        <w:rPr>
          <w:rFonts w:ascii="Arial" w:cs="Arial" w:eastAsia="Arial" w:hAnsi="Arial"/>
          <w:b/>
          <w:bCs/>
        </w:rPr>
        <w:t xml:space="preserve">Entrega:</w:t>
      </w:r>
      <w:r>
        <w:rPr>
          <w:rFonts w:ascii="Arial" w:cs="Arial" w:eastAsia="Arial" w:hAnsi="Arial"/>
        </w:rPr>
        <w:t xml:space="preserve"> una semana después de la sesión 4.</w:t>
      </w:r>
    </w:p>
    <w:p>
      <w:pPr>
        <w:spacing w:after="120" w:line="276"/>
        <w:jc w:val="both"/>
      </w:pPr>
      <w:r>
        <w:rPr>
          <w:rFonts w:ascii="Arial" w:cs="Arial" w:eastAsia="Arial" w:hAnsi="Arial"/>
          <w:b/>
          <w:bCs/>
        </w:rPr>
        <w:t xml:space="preserve">Frutos del Valle S.A.S.</w:t>
      </w:r>
      <w:r>
        <w:rPr>
          <w:rFonts w:ascii="Arial" w:cs="Arial" w:eastAsia="Arial" w:hAnsi="Arial"/>
        </w:rPr>
        <w:t xml:space="preserve"> (empresa ficticia) produce pulpa de fruta congelada para restaurantes y supermercados. La junta evalúa una </w:t>
      </w:r>
      <w:r>
        <w:rPr>
          <w:rFonts w:ascii="Arial" w:cs="Arial" w:eastAsia="Arial" w:hAnsi="Arial"/>
          <w:b/>
          <w:bCs/>
        </w:rPr>
        <w:t xml:space="preserve">nueva planta de procesamiento</w:t>
      </w:r>
      <w:r>
        <w:rPr>
          <w:rFonts w:ascii="Arial" w:cs="Arial" w:eastAsia="Arial" w:hAnsi="Arial"/>
        </w:rPr>
        <w:t xml:space="preserve"> y le pide a usted, como gerente financiero, una recomendación sustentada.</w:t>
      </w:r>
    </w:p>
    <w:p>
      <w:pPr>
        <w:pStyle w:val="Heading3"/>
      </w:pPr>
      <w:r>
        <w:rPr>
          <w:rFonts w:ascii="Arial" w:cs="Arial" w:eastAsia="Arial" w:hAnsi="Arial"/>
        </w:rPr>
        <w:t xml:space="preserve">Supuestos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50"/>
        <w:gridCol w:w="6088"/>
      </w:tblGrid>
      <w:tr>
        <w:trPr>
          <w:tblHeader/>
        </w:trPr>
        <w:tc>
          <w:tcPr>
            <w:tcW w:type="dxa" w:w="355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Variable</w:t>
            </w:r>
          </w:p>
        </w:tc>
        <w:tc>
          <w:tcPr>
            <w:tcW w:type="dxa" w:w="6088"/>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Valor</w:t>
            </w:r>
          </w:p>
        </w:tc>
      </w:tr>
      <w:tr>
        <w:tc>
          <w:tcPr>
            <w:tcW w:type="dxa" w:w="3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Inversión en equipo y montaje</w:t>
            </w:r>
          </w:p>
        </w:tc>
        <w:tc>
          <w:tcPr>
            <w:tcW w:type="dxa" w:w="6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$950 millones (depreciación en línea recta a 10 años)</w:t>
            </w:r>
          </w:p>
        </w:tc>
      </w:tr>
      <w:tr>
        <w:tc>
          <w:tcPr>
            <w:tcW w:type="dxa" w:w="355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Capital de trabajo</w:t>
            </w:r>
          </w:p>
        </w:tc>
        <w:tc>
          <w:tcPr>
            <w:tcW w:type="dxa" w:w="608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$250 millones (se recupera al final del año 5)</w:t>
            </w:r>
          </w:p>
        </w:tc>
      </w:tr>
      <w:tr>
        <w:tc>
          <w:tcPr>
            <w:tcW w:type="dxa" w:w="3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Ventas del año 1</w:t>
            </w:r>
          </w:p>
        </w:tc>
        <w:tc>
          <w:tcPr>
            <w:tcW w:type="dxa" w:w="6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$2.100 millones, con crecimiento de 6 % anual</w:t>
            </w:r>
          </w:p>
        </w:tc>
      </w:tr>
      <w:tr>
        <w:tc>
          <w:tcPr>
            <w:tcW w:type="dxa" w:w="355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Costo variable</w:t>
            </w:r>
          </w:p>
        </w:tc>
        <w:tc>
          <w:tcPr>
            <w:tcW w:type="dxa" w:w="608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62 % de las ventas</w:t>
            </w:r>
          </w:p>
        </w:tc>
      </w:tr>
      <w:tr>
        <w:tc>
          <w:tcPr>
            <w:tcW w:type="dxa" w:w="3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Costos fijos del año 1</w:t>
            </w:r>
          </w:p>
        </w:tc>
        <w:tc>
          <w:tcPr>
            <w:tcW w:type="dxa" w:w="6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$320 millones, con crecimiento de 4,5 % anual</w:t>
            </w:r>
          </w:p>
        </w:tc>
      </w:tr>
      <w:tr>
        <w:tc>
          <w:tcPr>
            <w:tcW w:type="dxa" w:w="355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Valor de venta del equipo en el año 5</w:t>
            </w:r>
          </w:p>
        </w:tc>
        <w:tc>
          <w:tcPr>
            <w:tcW w:type="dxa" w:w="608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$500 millones</w:t>
            </w:r>
          </w:p>
        </w:tc>
      </w:tr>
      <w:tr>
        <w:tc>
          <w:tcPr>
            <w:tcW w:type="dxa" w:w="3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Tarifa de renta</w:t>
            </w:r>
          </w:p>
        </w:tc>
        <w:tc>
          <w:tcPr>
            <w:tcW w:type="dxa" w:w="6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35 %</w:t>
            </w:r>
          </w:p>
        </w:tc>
      </w:tr>
      <w:tr>
        <w:tc>
          <w:tcPr>
            <w:tcW w:type="dxa" w:w="355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Financiación</w:t>
            </w:r>
          </w:p>
        </w:tc>
        <w:tc>
          <w:tcPr>
            <w:tcW w:type="dxa" w:w="608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40 % deuda a 19 % E.A.; 60 % patrimonio</w:t>
            </w:r>
          </w:p>
        </w:tc>
      </w:tr>
      <w:tr>
        <w:tc>
          <w:tcPr>
            <w:tcW w:type="dxa" w:w="355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Costo del patrimonio (CAPM)</w:t>
            </w:r>
          </w:p>
        </w:tc>
        <w:tc>
          <w:tcPr>
            <w:tcW w:type="dxa" w:w="608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Rf = 10 %; β = 1,1; prima de mercado = 6,5 %; prima por tamaño = 4,5 %</w:t>
            </w:r>
          </w:p>
        </w:tc>
      </w:tr>
      <w:tr>
        <w:tc>
          <w:tcPr>
            <w:tcW w:type="dxa" w:w="3550"/>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Horizonte de evaluación</w:t>
            </w:r>
          </w:p>
        </w:tc>
        <w:tc>
          <w:tcPr>
            <w:tcW w:type="dxa" w:w="608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5 años</w:t>
            </w:r>
          </w:p>
        </w:tc>
      </w:tr>
    </w:tbl>
    <w:p>
      <w:pPr>
        <w:spacing w:after="80"/>
      </w:pPr>
    </w:p>
    <w:p>
      <w:pPr>
        <w:pStyle w:val="Heading3"/>
      </w:pPr>
      <w:r>
        <w:rPr>
          <w:rFonts w:ascii="Arial" w:cs="Arial" w:eastAsia="Arial" w:hAnsi="Arial"/>
        </w:rPr>
        <w:t xml:space="preserve">Preguntas</w:t>
      </w:r>
    </w:p>
    <w:p>
      <w:pPr>
        <w:pStyle w:val="ListParagraph"/>
        <w:numPr>
          <w:ilvl w:val="0"/>
          <w:numId w:val="2"/>
        </w:numPr>
        <w:spacing w:after="60" w:line="264"/>
      </w:pPr>
      <w:r>
        <w:rPr>
          <w:rFonts w:ascii="Arial" w:cs="Arial" w:eastAsia="Arial" w:hAnsi="Arial"/>
        </w:rPr>
        <w:t xml:space="preserve">Calcule Ke, el costo de la deuda después de impuestos y el WACC.</w:t>
      </w:r>
    </w:p>
    <w:p>
      <w:pPr>
        <w:pStyle w:val="ListParagraph"/>
        <w:numPr>
          <w:ilvl w:val="0"/>
          <w:numId w:val="2"/>
        </w:numPr>
        <w:spacing w:after="60" w:line="264"/>
      </w:pPr>
      <w:r>
        <w:rPr>
          <w:rFonts w:ascii="Arial" w:cs="Arial" w:eastAsia="Arial" w:hAnsi="Arial"/>
        </w:rPr>
        <w:t xml:space="preserve">Construya el flujo de caja libre de los años 0 a 5.</w:t>
      </w:r>
    </w:p>
    <w:p>
      <w:pPr>
        <w:pStyle w:val="ListParagraph"/>
        <w:numPr>
          <w:ilvl w:val="0"/>
          <w:numId w:val="2"/>
        </w:numPr>
        <w:spacing w:after="60" w:line="264"/>
      </w:pPr>
      <w:r>
        <w:rPr>
          <w:rFonts w:ascii="Arial" w:cs="Arial" w:eastAsia="Arial" w:hAnsi="Arial"/>
        </w:rPr>
        <w:t xml:space="preserve">Calcule VPN, TIR, TIRM, relación beneficio/costo y periodo de recuperación descontado. Interprete cada uno.</w:t>
      </w:r>
    </w:p>
    <w:p>
      <w:pPr>
        <w:pStyle w:val="ListParagraph"/>
        <w:numPr>
          <w:ilvl w:val="0"/>
          <w:numId w:val="2"/>
        </w:numPr>
        <w:spacing w:after="60" w:line="264"/>
      </w:pPr>
      <w:r>
        <w:rPr>
          <w:rFonts w:ascii="Arial" w:cs="Arial" w:eastAsia="Arial" w:hAnsi="Arial"/>
        </w:rPr>
        <w:t xml:space="preserve">Calcule el EVA de cada año (capital invertido al inicio del año) y su valor presente. Explique su relación con el VPN.</w:t>
      </w:r>
    </w:p>
    <w:p>
      <w:pPr>
        <w:pStyle w:val="ListParagraph"/>
        <w:numPr>
          <w:ilvl w:val="0"/>
          <w:numId w:val="2"/>
        </w:numPr>
        <w:spacing w:after="60" w:line="264"/>
      </w:pPr>
      <w:r>
        <w:rPr>
          <w:rFonts w:ascii="Arial" w:cs="Arial" w:eastAsia="Arial" w:hAnsi="Arial"/>
        </w:rPr>
        <w:t xml:space="preserve">Sensibilice el VPN ante: ventas −10 %; costo variable de 65 %; crecimiento de ventas de 2 %; WACC + 2 puntos. Encuentre las ventas del año 1 que hacen VPN = 0.</w:t>
      </w:r>
    </w:p>
    <w:p>
      <w:pPr>
        <w:pStyle w:val="ListParagraph"/>
        <w:numPr>
          <w:ilvl w:val="0"/>
          <w:numId w:val="2"/>
        </w:numPr>
        <w:spacing w:after="60" w:line="264"/>
      </w:pPr>
      <w:r>
        <w:rPr>
          <w:rFonts w:ascii="Arial" w:cs="Arial" w:eastAsia="Arial" w:hAnsi="Arial"/>
        </w:rPr>
        <w:t xml:space="preserve">Un proveedor alternativo ofrece un equipo de </w:t>
      </w:r>
      <w:r>
        <w:rPr>
          <w:rFonts w:ascii="Arial" w:cs="Arial" w:eastAsia="Arial" w:hAnsi="Arial"/>
          <w:b/>
          <w:bCs/>
        </w:rPr>
        <w:t xml:space="preserve">$800 millones</w:t>
      </w:r>
      <w:r>
        <w:rPr>
          <w:rFonts w:ascii="Arial" w:cs="Arial" w:eastAsia="Arial" w:hAnsi="Arial"/>
        </w:rPr>
        <w:t xml:space="preserve"> (valor de venta en el año 5: $420 millones), pero con un costo variable de </w:t>
      </w:r>
      <w:r>
        <w:rPr>
          <w:rFonts w:ascii="Arial" w:cs="Arial" w:eastAsia="Arial" w:hAnsi="Arial"/>
          <w:b/>
          <w:bCs/>
        </w:rPr>
        <w:t xml:space="preserve">64,5 %</w:t>
      </w:r>
      <w:r>
        <w:rPr>
          <w:rFonts w:ascii="Arial" w:cs="Arial" w:eastAsia="Arial" w:hAnsi="Arial"/>
        </w:rPr>
        <w:t xml:space="preserve">. Compare ambas alternativas con VPN y TIR, calcule la tasa de Fisher y recomiende una.</w:t>
      </w:r>
    </w:p>
    <w:p>
      <w:pPr>
        <w:pStyle w:val="ListParagraph"/>
        <w:numPr>
          <w:ilvl w:val="0"/>
          <w:numId w:val="2"/>
        </w:numPr>
        <w:spacing w:after="60" w:line="264"/>
      </w:pPr>
      <w:r>
        <w:rPr>
          <w:rFonts w:ascii="Arial" w:cs="Arial" w:eastAsia="Arial" w:hAnsi="Arial"/>
        </w:rPr>
        <w:t xml:space="preserve">Redacte un </w:t>
      </w:r>
      <w:r>
        <w:rPr>
          <w:rFonts w:ascii="Arial" w:cs="Arial" w:eastAsia="Arial" w:hAnsi="Arial"/>
          <w:b/>
          <w:bCs/>
        </w:rPr>
        <w:t xml:space="preserve">informe ejecutivo de máximo dos páginas</w:t>
      </w:r>
      <w:r>
        <w:rPr>
          <w:rFonts w:ascii="Arial" w:cs="Arial" w:eastAsia="Arial" w:hAnsi="Arial"/>
        </w:rPr>
        <w:t xml:space="preserve"> para la junta, con la recomendación, los riesgos principales y las variables que se deben vigilar.</w:t>
      </w:r>
    </w:p>
    <w:p>
      <w:pPr>
        <w:pStyle w:val="Heading3"/>
      </w:pPr>
      <w:r>
        <w:rPr>
          <w:rFonts w:ascii="Arial" w:cs="Arial" w:eastAsia="Arial" w:hAnsi="Arial"/>
        </w:rPr>
        <w:t xml:space="preserve">Entregables</w:t>
      </w:r>
    </w:p>
    <w:p>
      <w:pPr>
        <w:pStyle w:val="ListParagraph"/>
        <w:numPr>
          <w:ilvl w:val="0"/>
          <w:numId w:val="3"/>
        </w:numPr>
        <w:spacing w:after="60" w:line="264"/>
      </w:pPr>
      <w:r>
        <w:rPr>
          <w:rFonts w:ascii="Arial" w:cs="Arial" w:eastAsia="Arial" w:hAnsi="Arial"/>
        </w:rPr>
        <w:t xml:space="preserve">Libro de Excel con supuestos separados de los cálculos (celdas de entrada identificadas) y fórmulas trazables.</w:t>
      </w:r>
    </w:p>
    <w:p>
      <w:pPr>
        <w:pStyle w:val="ListParagraph"/>
        <w:numPr>
          <w:ilvl w:val="0"/>
          <w:numId w:val="3"/>
        </w:numPr>
        <w:spacing w:after="60" w:line="264"/>
      </w:pPr>
      <w:r>
        <w:rPr>
          <w:rFonts w:ascii="Arial" w:cs="Arial" w:eastAsia="Arial" w:hAnsi="Arial"/>
        </w:rPr>
        <w:t xml:space="preserve">Informe ejecutivo en PDF o Word (máximo dos páginas).</w:t>
      </w:r>
    </w:p>
    <w:p>
      <w:pPr>
        <w:pStyle w:val="Heading3"/>
      </w:pPr>
      <w:r>
        <w:rPr>
          <w:rFonts w:ascii="Arial" w:cs="Arial" w:eastAsia="Arial" w:hAnsi="Arial"/>
        </w:rPr>
        <w:t xml:space="preserve">Rúbrica de evaluación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78"/>
        <w:gridCol w:w="755"/>
        <w:gridCol w:w="2456"/>
        <w:gridCol w:w="2267"/>
        <w:gridCol w:w="2082"/>
      </w:tblGrid>
      <w:tr>
        <w:trPr>
          <w:tblHeader/>
        </w:trPr>
        <w:tc>
          <w:tcPr>
            <w:tcW w:type="dxa" w:w="2078"/>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Criterio</w:t>
            </w:r>
          </w:p>
        </w:tc>
        <w:tc>
          <w:tcPr>
            <w:tcW w:type="dxa" w:w="755"/>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Peso</w:t>
            </w:r>
          </w:p>
        </w:tc>
        <w:tc>
          <w:tcPr>
            <w:tcW w:type="dxa" w:w="2456"/>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Excelente (4,5–5,0)</w:t>
            </w:r>
          </w:p>
        </w:tc>
        <w:tc>
          <w:tcPr>
            <w:tcW w:type="dxa" w:w="2267"/>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Aceptable (3,0–4,4)</w:t>
            </w:r>
          </w:p>
        </w:tc>
        <w:tc>
          <w:tcPr>
            <w:tcW w:type="dxa" w:w="2082"/>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spacing w:after="40"/>
              <w:jc w:val="left"/>
            </w:pPr>
            <w:r>
              <w:rPr>
                <w:rFonts w:ascii="Arial" w:cs="Arial" w:eastAsia="Arial" w:hAnsi="Arial"/>
                <w:b/>
                <w:bCs/>
                <w:color w:val="FFFFFF"/>
                <w:sz w:val="19"/>
                <w:szCs w:val="19"/>
              </w:rPr>
              <w:t xml:space="preserve">Insuficiente (&lt; 3,0)</w:t>
            </w:r>
          </w:p>
        </w:tc>
      </w:tr>
      <w:tr>
        <w:tc>
          <w:tcPr>
            <w:tcW w:type="dxa" w:w="20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WACC y flujo de caja libre</w:t>
            </w:r>
          </w:p>
        </w:tc>
        <w:tc>
          <w:tcPr>
            <w:tcW w:type="dxa" w:w="7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30 %</w:t>
            </w:r>
          </w:p>
        </w:tc>
        <w:tc>
          <w:tcPr>
            <w:tcW w:type="dxa" w:w="24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Estructura correcta: sin intereses en el flujo, con capital de trabajo y salvamento neto de impuestos</w:t>
            </w:r>
          </w:p>
        </w:tc>
        <w:tc>
          <w:tcPr>
            <w:tcW w:type="dxa" w:w="226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Errores menores</w:t>
            </w:r>
          </w:p>
        </w:tc>
        <w:tc>
          <w:tcPr>
            <w:tcW w:type="dxa" w:w="20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Errores conceptuales de estructura</w:t>
            </w:r>
          </w:p>
        </w:tc>
      </w:tr>
      <w:tr>
        <w:tc>
          <w:tcPr>
            <w:tcW w:type="dxa" w:w="207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Indicadores y EVA</w:t>
            </w:r>
          </w:p>
        </w:tc>
        <w:tc>
          <w:tcPr>
            <w:tcW w:type="dxa" w:w="75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25 %</w:t>
            </w:r>
          </w:p>
        </w:tc>
        <w:tc>
          <w:tcPr>
            <w:tcW w:type="dxa" w:w="2456"/>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Cálculo e interpretación correctos; relaciona EVA y VPN</w:t>
            </w:r>
          </w:p>
        </w:tc>
        <w:tc>
          <w:tcPr>
            <w:tcW w:type="dxa" w:w="2267"/>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Cálculo correcto, interpretación débil</w:t>
            </w:r>
          </w:p>
        </w:tc>
        <w:tc>
          <w:tcPr>
            <w:tcW w:type="dxa" w:w="208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Errores de cálculo o de interpretación</w:t>
            </w:r>
          </w:p>
        </w:tc>
      </w:tr>
      <w:tr>
        <w:tc>
          <w:tcPr>
            <w:tcW w:type="dxa" w:w="207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Sensibilidad y alternativas</w:t>
            </w:r>
          </w:p>
        </w:tc>
        <w:tc>
          <w:tcPr>
            <w:tcW w:type="dxa" w:w="7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20 %</w:t>
            </w:r>
          </w:p>
        </w:tc>
        <w:tc>
          <w:tcPr>
            <w:tcW w:type="dxa" w:w="2456"/>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Identifica variables críticas, punto de equilibrio y resuelve el conflicto VPN–TIR</w:t>
            </w:r>
          </w:p>
        </w:tc>
        <w:tc>
          <w:tcPr>
            <w:tcW w:type="dxa" w:w="2267"/>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Sensibilidad parcial</w:t>
            </w:r>
          </w:p>
        </w:tc>
        <w:tc>
          <w:tcPr>
            <w:tcW w:type="dxa" w:w="20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jc w:val="left"/>
            </w:pPr>
            <w:r>
              <w:rPr>
                <w:rFonts w:ascii="Arial" w:cs="Arial" w:eastAsia="Arial" w:hAnsi="Arial"/>
                <w:sz w:val="19"/>
                <w:szCs w:val="19"/>
              </w:rPr>
              <w:t xml:space="preserve">No la desarrolla</w:t>
            </w:r>
          </w:p>
        </w:tc>
      </w:tr>
      <w:tr>
        <w:tc>
          <w:tcPr>
            <w:tcW w:type="dxa" w:w="207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Informe ejecutivo</w:t>
            </w:r>
          </w:p>
        </w:tc>
        <w:tc>
          <w:tcPr>
            <w:tcW w:type="dxa" w:w="755"/>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25 %</w:t>
            </w:r>
          </w:p>
        </w:tc>
        <w:tc>
          <w:tcPr>
            <w:tcW w:type="dxa" w:w="2456"/>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Recomendación clara, riesgos y variables a vigilar; lenguaje para la junta</w:t>
            </w:r>
          </w:p>
        </w:tc>
        <w:tc>
          <w:tcPr>
            <w:tcW w:type="dxa" w:w="2267"/>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Recomendación sin sustento suficiente</w:t>
            </w:r>
          </w:p>
        </w:tc>
        <w:tc>
          <w:tcPr>
            <w:tcW w:type="dxa" w:w="208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jc w:val="left"/>
            </w:pPr>
            <w:r>
              <w:rPr>
                <w:rFonts w:ascii="Arial" w:cs="Arial" w:eastAsia="Arial" w:hAnsi="Arial"/>
                <w:sz w:val="19"/>
                <w:szCs w:val="19"/>
              </w:rPr>
              <w:t xml:space="preserve">Sin recomendación clara</w:t>
            </w:r>
          </w:p>
        </w:tc>
      </w:tr>
    </w:tbl>
    <w:p>
      <w:pPr>
        <w:spacing w:after="80"/>
      </w:pP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7F7F7F"/>
        <w:sz w:val="16"/>
        <w:szCs w:val="16"/>
      </w:rPr>
      <w:t xml:space="preserve">Matemáticas para la Toma de Decisiones · Talleres y caso integrador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color w:val="1F3864"/>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1F3864"/>
      <w:sz w:val="25"/>
      <w:szCs w:val="25"/>
    </w:rPr>
  </w:style>
  <w:style w:type="paragraph" w:styleId="Heading3">
    <w:name w:val="Heading 3"/>
    <w:basedOn w:val="Normal"/>
    <w:next w:val="Normal"/>
    <w:qFormat/>
    <w:pPr>
      <w:spacing w:after="80" w:before="180"/>
      <w:outlineLvl w:val="2"/>
    </w:pPr>
    <w:rPr>
      <w:rFonts w:ascii="Arial" w:cs="Arial" w:eastAsia="Arial" w:hAnsi="Arial"/>
      <w:b/>
      <w:bCs/>
      <w:color w:val="C55A11"/>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Matemáticas para la Toma de Decisiones · Talleres y caso integrador</dc:title>
  <dc:creator>Alexander Zamora</dc:creator>
  <cp:lastModifiedBy>Un-named</cp:lastModifiedBy>
  <cp:revision>1</cp:revision>
  <dcterms:created xsi:type="dcterms:W3CDTF">2026-10-11T19:01:18.581Z</dcterms:created>
  <dcterms:modified xsi:type="dcterms:W3CDTF">2026-10-11T19:01:18.581Z</dcterms:modified>
</cp:coreProperties>
</file>

<file path=docProps/custom.xml><?xml version="1.0" encoding="utf-8"?>
<Properties xmlns="http://schemas.openxmlformats.org/officeDocument/2006/custom-properties" xmlns:vt="http://schemas.openxmlformats.org/officeDocument/2006/docPropsVTypes"/>
</file>