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pBdr>
          <w:bottom w:val="single" w:color="C55A11" w:sz="18" w:space="8"/>
        </w:pBdr>
        <w:spacing w:after="200"/>
        <w:jc w:val="left"/>
      </w:pPr>
      <w:r>
        <w:rPr>
          <w:rFonts w:ascii="Arial" w:cs="Arial" w:eastAsia="Arial" w:hAnsi="Arial"/>
          <w:b/>
          <w:bCs/>
          <w:color w:val="1F3864"/>
          <w:sz w:val="48"/>
          <w:szCs w:val="48"/>
        </w:rPr>
        <w:t xml:space="preserve">Funciones financieras de Excel en español</w:t>
      </w:r>
    </w:p>
    <w:p>
      <w:pPr>
        <w:spacing w:after="600"/>
      </w:pPr>
      <w:r>
        <w:rPr>
          <w:rFonts w:ascii="Arial" w:cs="Arial" w:eastAsia="Arial" w:hAnsi="Arial"/>
          <w:color w:val="404040"/>
          <w:sz w:val="28"/>
          <w:szCs w:val="28"/>
        </w:rPr>
        <w:t xml:space="preserve">Guía de referencia con ejemplos para el curso</w:t>
      </w:r>
    </w:p>
    <w:p>
      <w:pPr>
        <w:spacing w:after="80"/>
      </w:pPr>
      <w:r>
        <w:rPr>
          <w:rFonts w:ascii="Arial" w:cs="Arial" w:eastAsia="Arial" w:hAnsi="Arial"/>
          <w:b/>
          <w:bCs/>
          <w:color w:val="404040"/>
          <w:sz w:val="22"/>
          <w:szCs w:val="22"/>
        </w:rPr>
        <w:t xml:space="preserve">Curso:</w:t>
      </w:r>
      <w:r>
        <w:rPr>
          <w:rFonts w:ascii="Arial" w:cs="Arial" w:eastAsia="Arial" w:hAnsi="Arial"/>
          <w:color w:val="404040"/>
          <w:sz w:val="22"/>
          <w:szCs w:val="22"/>
        </w:rPr>
        <w:t xml:space="preserve"> Matemáticas para la Toma de Decisiones · Especialización en Gerencia Financiera</w:t>
      </w:r>
    </w:p>
    <w:p>
      <w:pPr>
        <w:spacing w:after="80"/>
      </w:pPr>
      <w:r>
        <w:rPr>
          <w:rFonts w:ascii="Arial" w:cs="Arial" w:eastAsia="Arial" w:hAnsi="Arial"/>
          <w:b/>
          <w:bCs/>
          <w:color w:val="404040"/>
          <w:sz w:val="22"/>
          <w:szCs w:val="22"/>
        </w:rPr>
        <w:t xml:space="preserve">Docente:</w:t>
      </w:r>
      <w:r>
        <w:rPr>
          <w:rFonts w:ascii="Arial" w:cs="Arial" w:eastAsia="Arial" w:hAnsi="Arial"/>
          <w:color w:val="404040"/>
          <w:sz w:val="22"/>
          <w:szCs w:val="22"/>
        </w:rPr>
        <w:t xml:space="preserve"> Alexander Zamora</w:t>
      </w:r>
    </w:p>
    <w:p>
      <w:pPr>
        <w:spacing w:after="80"/>
      </w:pPr>
    </w:p>
    <w:p>
      <w:pPr>
        <w:spacing w:after="80"/>
      </w:pPr>
      <w:r>
        <w:rPr>
          <w:rFonts w:ascii="Arial" w:cs="Arial" w:eastAsia="Arial" w:hAnsi="Arial"/>
          <w:b/>
          <w:bCs/>
          <w:color w:val="404040"/>
          <w:sz w:val="22"/>
          <w:szCs w:val="22"/>
        </w:rPr>
        <w:t xml:space="preserve">Complemento:</w:t>
      </w:r>
      <w:r>
        <w:rPr>
          <w:rFonts w:ascii="Arial" w:cs="Arial" w:eastAsia="Arial" w:hAnsi="Arial"/>
          <w:color w:val="404040"/>
          <w:sz w:val="22"/>
          <w:szCs w:val="22"/>
        </w:rPr>
        <w:t xml:space="preserve"> libro Funciones_Financieras_Excel.xlsx, con un ejemplo funcional de cada función de esta guía.</w:t>
      </w:r>
    </w:p>
    <w:p>
      <w:pPr>
        <w:spacing w:after="80"/>
      </w:pPr>
      <w:r>
        <w:rPr>
          <w:rFonts w:ascii="Arial" w:cs="Arial" w:eastAsia="Arial" w:hAnsi="Arial"/>
          <w:color w:val="404040"/>
          <w:sz w:val="22"/>
          <w:szCs w:val="22"/>
        </w:rPr>
        <w:t xml:space="preserve">Nombres de las funciones verificados en la referencia oficial de Microsoft (55 funciones financieras).</w:t>
      </w:r>
    </w:p>
    <w:p>
      <w:pPr>
        <w:pStyle w:val="Heading1"/>
        <w:pageBreakBefore/>
      </w:pPr>
      <w:r>
        <w:rPr>
          <w:rFonts w:ascii="Arial" w:cs="Arial" w:eastAsia="Arial" w:hAnsi="Arial"/>
        </w:rPr>
        <w:t xml:space="preserve">1. Antes de empezar: cinco reglas</w:t>
      </w:r>
    </w:p>
    <w:p>
      <w:pPr>
        <w:pStyle w:val="ListParagraph"/>
        <w:numPr>
          <w:ilvl w:val="0"/>
          <w:numId w:val="2"/>
        </w:numPr>
        <w:spacing w:after="60" w:line="264"/>
      </w:pPr>
      <w:r>
        <w:rPr>
          <w:rFonts w:ascii="Arial" w:cs="Arial" w:eastAsia="Arial" w:hAnsi="Arial"/>
          <w:b/>
          <w:bCs/>
        </w:rPr>
        <w:t xml:space="preserve">Signos.</w:t>
      </w:r>
      <w:r>
        <w:rPr>
          <w:rFonts w:ascii="Arial" w:cs="Arial" w:eastAsia="Arial" w:hAnsi="Arial"/>
        </w:rPr>
        <w:t xml:space="preserve"> Excel piensa en flujos de caja: lo que entra es positivo y lo que sale es negativo. Si presta $180 millones, el monto entra (+) y las cuotas salen (−). Por eso se escribe =PAGO(i;n;-180000000) para obtener una cuota positiva.</w:t>
      </w:r>
    </w:p>
    <w:p>
      <w:pPr>
        <w:pStyle w:val="ListParagraph"/>
        <w:numPr>
          <w:ilvl w:val="0"/>
          <w:numId w:val="2"/>
        </w:numPr>
        <w:spacing w:after="60" w:line="264"/>
      </w:pPr>
      <w:r>
        <w:rPr>
          <w:rFonts w:ascii="Arial" w:cs="Arial" w:eastAsia="Arial" w:hAnsi="Arial"/>
          <w:b/>
          <w:bCs/>
        </w:rPr>
        <w:t xml:space="preserve">Misma unidad.</w:t>
      </w:r>
      <w:r>
        <w:rPr>
          <w:rFonts w:ascii="Arial" w:cs="Arial" w:eastAsia="Arial" w:hAnsi="Arial"/>
        </w:rPr>
        <w:t xml:space="preserve"> La tasa y el número de periodos deben estar en la misma unidad. Cuotas mensuales exigen tasa mensual: (1 + E.A.)^(1/12) − 1, nunca E.A./12.</w:t>
      </w:r>
    </w:p>
    <w:p>
      <w:pPr>
        <w:pStyle w:val="ListParagraph"/>
        <w:numPr>
          <w:ilvl w:val="0"/>
          <w:numId w:val="2"/>
        </w:numPr>
        <w:spacing w:after="60" w:line="264"/>
      </w:pPr>
      <w:r>
        <w:rPr>
          <w:rFonts w:ascii="Arial" w:cs="Arial" w:eastAsia="Arial" w:hAnsi="Arial"/>
          <w:b/>
          <w:bCs/>
        </w:rPr>
        <w:t xml:space="preserve">Vencida o anticipada.</w:t>
      </w:r>
      <w:r>
        <w:rPr>
          <w:rFonts w:ascii="Arial" w:cs="Arial" w:eastAsia="Arial" w:hAnsi="Arial"/>
        </w:rPr>
        <w:t xml:space="preserve"> El argumento opcional tipo vale 0 (pagos al final del periodo, valor por defecto) o 1 (pagos al inicio).</w:t>
      </w:r>
    </w:p>
    <w:p>
      <w:pPr>
        <w:pStyle w:val="ListParagraph"/>
        <w:numPr>
          <w:ilvl w:val="0"/>
          <w:numId w:val="2"/>
        </w:numPr>
        <w:spacing w:after="60" w:line="264"/>
      </w:pPr>
      <w:r>
        <w:rPr>
          <w:rFonts w:ascii="Arial" w:cs="Arial" w:eastAsia="Arial" w:hAnsi="Arial"/>
          <w:b/>
          <w:bCs/>
        </w:rPr>
        <w:t xml:space="preserve">Separadores.</w:t>
      </w:r>
      <w:r>
        <w:rPr>
          <w:rFonts w:ascii="Arial" w:cs="Arial" w:eastAsia="Arial" w:hAnsi="Arial"/>
        </w:rPr>
        <w:t xml:space="preserve"> En Excel configurado para Colombia los argumentos se separan con punto y coma (;) y los decimales con coma: =PAGO(1,5%;36;-50000000). Si el Excel está en inglés, las funciones aparecen con su nombre en inglés (PMT) y se separan con coma.</w:t>
      </w:r>
    </w:p>
    <w:p>
      <w:pPr>
        <w:pStyle w:val="ListParagraph"/>
        <w:numPr>
          <w:ilvl w:val="0"/>
          <w:numId w:val="2"/>
        </w:numPr>
        <w:spacing w:after="60" w:line="264"/>
      </w:pPr>
      <w:r>
        <w:rPr>
          <w:rFonts w:ascii="Arial" w:cs="Arial" w:eastAsia="Arial" w:hAnsi="Arial"/>
          <w:b/>
          <w:bCs/>
        </w:rPr>
        <w:t xml:space="preserve">Tasas anticipadas.</w:t>
      </w:r>
      <w:r>
        <w:rPr>
          <w:rFonts w:ascii="Arial" w:cs="Arial" w:eastAsia="Arial" w:hAnsi="Arial"/>
        </w:rPr>
        <w:t xml:space="preserve"> INT.EFECTIVO y TASA.NOMINAL solo trabajan con tasas vencidas. Una tasa anticipada se convierte primero a mano: i vencida = i anticipada / (1 − i anticipada).</w:t>
      </w:r>
    </w:p>
    <w:p>
      <w:pPr>
        <w:spacing w:after="120" w:line="276"/>
        <w:jc w:val="both"/>
      </w:pPr>
      <w:r>
        <w:rPr>
          <w:rFonts w:ascii="Arial" w:cs="Arial" w:eastAsia="Arial" w:hAnsi="Arial"/>
        </w:rPr>
        <w:t xml:space="preserve">Los argumentos entre corchetes son opcionales. "liq" es la fecha de liquidación (compra) y "vencto" la de vencimiento. La base de días es: 0 = 30/360 de EE. UU., 1 = días reales/días reales, 2 = reales/360, 3 = reales/365, 4 = 30/360 europea.</w:t>
      </w:r>
    </w:p>
    <w:p>
      <w:pPr>
        <w:pStyle w:val="Heading1"/>
        <w:pageBreakBefore/>
      </w:pPr>
      <w:r>
        <w:rPr>
          <w:rFonts w:ascii="Arial" w:cs="Arial" w:eastAsia="Arial" w:hAnsi="Arial"/>
        </w:rPr>
        <w:t xml:space="preserve">2. Mapa de las funciones</w:t>
      </w:r>
    </w:p>
    <w:p>
      <w:pPr>
        <w:spacing w:after="120" w:line="276"/>
        <w:jc w:val="both"/>
      </w:pPr>
      <w:r>
        <w:rPr>
          <w:rFonts w:ascii="Arial" w:cs="Arial" w:eastAsia="Arial" w:hAnsi="Arial"/>
        </w:rPr>
        <w:t xml:space="preserve">Excel tiene 55 funciones financieras. Para este curso, las familias 3 a 5 son las esenciales; la depreciación y la renta fija amplían el panorama.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8"/>
        <w:gridCol w:w="5019"/>
        <w:gridCol w:w="2411"/>
      </w:tblGrid>
      <w:tr>
        <w:trPr>
          <w:tblHeader/>
        </w:trPr>
        <w:tc>
          <w:tcPr>
            <w:tcW w:type="dxa" w:w="2208"/>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Familia</w:t>
            </w:r>
          </w:p>
        </w:tc>
        <w:tc>
          <w:tcPr>
            <w:tcW w:type="dxa" w:w="5019"/>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Funciones</w:t>
            </w:r>
          </w:p>
        </w:tc>
        <w:tc>
          <w:tcPr>
            <w:tcW w:type="dxa" w:w="2411"/>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Uso en el curso</w:t>
            </w:r>
          </w:p>
        </w:tc>
      </w:tr>
      <w:tr>
        <w:tc>
          <w:tcPr>
            <w:tcW w:type="dxa" w:w="22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Valor del dinero y tasas</w:t>
            </w:r>
          </w:p>
        </w:tc>
        <w:tc>
          <w:tcPr>
            <w:tcW w:type="dxa" w:w="501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VA, VF, PAGO, NPER, TASA, INT.EFECTIVO, TASA.NOMINAL, VF.PLAN, P.DURACION, RRI</w:t>
            </w:r>
          </w:p>
        </w:tc>
        <w:tc>
          <w:tcPr>
            <w:tcW w:type="dxa" w:w="241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Sesiones 1 y 2: esencial</w:t>
            </w:r>
          </w:p>
        </w:tc>
      </w:tr>
      <w:tr>
        <w:tc>
          <w:tcPr>
            <w:tcW w:type="dxa" w:w="220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Amortización</w:t>
            </w:r>
          </w:p>
        </w:tc>
        <w:tc>
          <w:tcPr>
            <w:tcW w:type="dxa" w:w="5019"/>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PAGOINT, PAGOPRIN, PAGO.INT.ENTRE, PAGO.PRINC.ENTRE, INT.PAGO.DIR</w:t>
            </w:r>
          </w:p>
        </w:tc>
        <w:tc>
          <w:tcPr>
            <w:tcW w:type="dxa" w:w="241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Sesión 2: esencial</w:t>
            </w:r>
          </w:p>
        </w:tc>
      </w:tr>
      <w:tr>
        <w:tc>
          <w:tcPr>
            <w:tcW w:type="dxa" w:w="22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Evaluación de inversiones</w:t>
            </w:r>
          </w:p>
        </w:tc>
        <w:tc>
          <w:tcPr>
            <w:tcW w:type="dxa" w:w="501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VNA, TIR, TIRM, VNA.NO.PER, TIR.NO.PER</w:t>
            </w:r>
          </w:p>
        </w:tc>
        <w:tc>
          <w:tcPr>
            <w:tcW w:type="dxa" w:w="241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Sesiones 3 y 4: esencial</w:t>
            </w:r>
          </w:p>
        </w:tc>
      </w:tr>
      <w:tr>
        <w:tc>
          <w:tcPr>
            <w:tcW w:type="dxa" w:w="220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Depreciación</w:t>
            </w:r>
          </w:p>
        </w:tc>
        <w:tc>
          <w:tcPr>
            <w:tcW w:type="dxa" w:w="5019"/>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SLN, SYD, DB, DDB, DVS, AMORTIZ.LIN, AMORTIZ.PROGRE</w:t>
            </w:r>
          </w:p>
        </w:tc>
        <w:tc>
          <w:tcPr>
            <w:tcW w:type="dxa" w:w="241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Flujo de caja de proyectos: complementaria</w:t>
            </w:r>
          </w:p>
        </w:tc>
      </w:tr>
      <w:tr>
        <w:tc>
          <w:tcPr>
            <w:tcW w:type="dxa" w:w="220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Renta fija</w:t>
            </w:r>
          </w:p>
        </w:tc>
        <w:tc>
          <w:tcPr>
            <w:tcW w:type="dxa" w:w="501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PRECIO, RENDTO, DURACION, DURACION.MODIF, INT.ACUM, INT.ACUM.V, TASA.DESC, RENDTO.DESC, PRECIO.DESCUENTO, TASA.INT, CANTIDAD.RECIBIDA, PRECIO.VENCIMIENTO, RENDTO.VENCTO, 6 funciones CUPON.*</w:t>
            </w:r>
          </w:p>
        </w:tc>
        <w:tc>
          <w:tcPr>
            <w:tcW w:type="dxa" w:w="241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Inversiones en títulos: complementaria</w:t>
            </w:r>
          </w:p>
        </w:tc>
      </w:tr>
      <w:tr>
        <w:tc>
          <w:tcPr>
            <w:tcW w:type="dxa" w:w="220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Especializadas</w:t>
            </w:r>
          </w:p>
        </w:tc>
        <w:tc>
          <w:tcPr>
            <w:tcW w:type="dxa" w:w="5019"/>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4 funciones de períodos irregulares, 3 de letras del Tesoro, MONEDA.DEC, MONEDA.FRAC</w:t>
            </w:r>
          </w:p>
        </w:tc>
        <w:tc>
          <w:tcPr>
            <w:tcW w:type="dxa" w:w="241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Referencia</w:t>
            </w:r>
          </w:p>
        </w:tc>
      </w:tr>
    </w:tbl>
    <w:p>
      <w:pPr>
        <w:spacing w:after="80"/>
      </w:pPr>
    </w:p>
    <w:p>
      <w:pPr>
        <w:pStyle w:val="Heading1"/>
        <w:pageBreakBefore/>
      </w:pPr>
      <w:r>
        <w:rPr>
          <w:rFonts w:ascii="Arial" w:cs="Arial" w:eastAsia="Arial" w:hAnsi="Arial"/>
        </w:rPr>
        <w:t xml:space="preserve">3. Valor del dinero en el tiempo y tasas</w:t>
      </w:r>
    </w:p>
    <w:p>
      <w:pPr>
        <w:spacing w:after="120" w:line="276"/>
        <w:jc w:val="both"/>
      </w:pPr>
      <w:r>
        <w:rPr>
          <w:rFonts w:ascii="Arial" w:cs="Arial" w:eastAsia="Arial" w:hAnsi="Arial"/>
        </w:rPr>
        <w:t xml:space="preserve">Las cinco primeras funciones resuelven la misma ecuación: dados cuatro de los cinco valores (tasa, número de periodos, pago, valor presente y valor futuro), calculan el quinto.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73"/>
        <w:gridCol w:w="2852"/>
        <w:gridCol w:w="2261"/>
        <w:gridCol w:w="2952"/>
      </w:tblGrid>
      <w:tr>
        <w:trPr>
          <w:tblHeader/>
        </w:trPr>
        <w:tc>
          <w:tcPr>
            <w:tcW w:type="dxa" w:w="1573"/>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Función</w:t>
            </w:r>
          </w:p>
        </w:tc>
        <w:tc>
          <w:tcPr>
            <w:tcW w:type="dxa" w:w="2852"/>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Sintaxis</w:t>
            </w:r>
          </w:p>
        </w:tc>
        <w:tc>
          <w:tcPr>
            <w:tcW w:type="dxa" w:w="2261"/>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Qué devuelve</w:t>
            </w:r>
          </w:p>
        </w:tc>
        <w:tc>
          <w:tcPr>
            <w:tcW w:type="dxa" w:w="2952"/>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Ejemplo y resultado</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PAGO</w:t>
            </w:r>
            <w:r>
              <w:rPr>
                <w:rFonts w:ascii="Arial" w:cs="Arial" w:eastAsia="Arial" w:hAnsi="Arial"/>
                <w:sz w:val="19"/>
                <w:szCs w:val="19"/>
              </w:rPr>
              <w:t xml:space="preserve"> (PMT)</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PAGO(tasa; nper; va; [vf]; [tipo])</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Cuota fija de un crédito o una anualidad</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Crédito de $180 M, 180 meses, 13 % E.A.: =PAGO(i;180;-180000000) → </w:t>
            </w:r>
            <w:r>
              <w:rPr>
                <w:rFonts w:ascii="Arial" w:cs="Arial" w:eastAsia="Arial" w:hAnsi="Arial"/>
                <w:sz w:val="19"/>
                <w:szCs w:val="19"/>
              </w:rPr>
              <w:t xml:space="preserve">$2.193.324</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VA</w:t>
            </w:r>
            <w:r>
              <w:rPr>
                <w:rFonts w:ascii="Arial" w:cs="Arial" w:eastAsia="Arial" w:hAnsi="Arial"/>
                <w:sz w:val="19"/>
                <w:szCs w:val="19"/>
              </w:rPr>
              <w:t xml:space="preserve"> (PV)</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VA(tasa; nper; pago; [vf]; [tipo])</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Valor presente de una serie de pagos o de un monto futuro</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12 arriendos anticipados de $4,5 M al 1,2 %: =VA(1,2%;12;-4500000;0;1) → </w:t>
            </w:r>
            <w:r>
              <w:rPr>
                <w:rFonts w:ascii="Arial" w:cs="Arial" w:eastAsia="Arial" w:hAnsi="Arial"/>
                <w:sz w:val="19"/>
                <w:szCs w:val="19"/>
              </w:rPr>
              <w:t xml:space="preserve">$50.613.816</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VF</w:t>
            </w:r>
            <w:r>
              <w:rPr>
                <w:rFonts w:ascii="Arial" w:cs="Arial" w:eastAsia="Arial" w:hAnsi="Arial"/>
                <w:sz w:val="19"/>
                <w:szCs w:val="19"/>
              </w:rPr>
              <w:t xml:space="preserve"> (FV)</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VF(tasa; nper; pago; [va]; [tipo])</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Valor futuro de una serie o de un monto presente</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Ahorro de $3 M al mes durante 24 meses al 0,9 %: =VF(0,9%;24;-3000000) → </w:t>
            </w:r>
            <w:r>
              <w:rPr>
                <w:rFonts w:ascii="Arial" w:cs="Arial" w:eastAsia="Arial" w:hAnsi="Arial"/>
                <w:sz w:val="19"/>
                <w:szCs w:val="19"/>
              </w:rPr>
              <w:t xml:space="preserve">$79.967.932</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NPER</w:t>
            </w:r>
            <w:r>
              <w:rPr>
                <w:rFonts w:ascii="Arial" w:cs="Arial" w:eastAsia="Arial" w:hAnsi="Arial"/>
                <w:sz w:val="19"/>
                <w:szCs w:val="19"/>
              </w:rPr>
              <w:t xml:space="preserve"> (NPER)</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NPER(tasa; pago; va; [vf]; [tipo])</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Número de periodos</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$50 M con cuotas de $2 M al 1,5 %: =NPER(1,5%;-2000000;50000000) → </w:t>
            </w:r>
            <w:r>
              <w:rPr>
                <w:rFonts w:ascii="Arial" w:cs="Arial" w:eastAsia="Arial" w:hAnsi="Arial"/>
                <w:sz w:val="19"/>
                <w:szCs w:val="19"/>
              </w:rPr>
              <w:t xml:space="preserve">31,57</w:t>
            </w:r>
            <w:r>
              <w:rPr>
                <w:rFonts w:ascii="Arial" w:cs="Arial" w:eastAsia="Arial" w:hAnsi="Arial"/>
                <w:sz w:val="19"/>
                <w:szCs w:val="19"/>
              </w:rPr>
              <w:t xml:space="preserve"> cuotas</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TASA</w:t>
            </w:r>
            <w:r>
              <w:rPr>
                <w:rFonts w:ascii="Arial" w:cs="Arial" w:eastAsia="Arial" w:hAnsi="Arial"/>
                <w:sz w:val="19"/>
                <w:szCs w:val="19"/>
              </w:rPr>
              <w:t xml:space="preserve"> (RATE)</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TASA(nper; pago; va; [vf]; [tipo]; [estimar])</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Tasa por periodo implícita</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$50 M pagados con 36 cuotas de $2 M: =TASA(36;-2000000;50000000) → </w:t>
            </w:r>
            <w:r>
              <w:rPr>
                <w:rFonts w:ascii="Arial" w:cs="Arial" w:eastAsia="Arial" w:hAnsi="Arial"/>
                <w:sz w:val="19"/>
                <w:szCs w:val="19"/>
              </w:rPr>
              <w:t xml:space="preserve">2,1211 %</w:t>
            </w:r>
            <w:r>
              <w:rPr>
                <w:rFonts w:ascii="Arial" w:cs="Arial" w:eastAsia="Arial" w:hAnsi="Arial"/>
                <w:sz w:val="19"/>
                <w:szCs w:val="19"/>
              </w:rPr>
              <w:t xml:space="preserve"> mensual</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INT.EFECTIVO</w:t>
            </w:r>
            <w:r>
              <w:rPr>
                <w:rFonts w:ascii="Arial" w:cs="Arial" w:eastAsia="Arial" w:hAnsi="Arial"/>
                <w:sz w:val="19"/>
                <w:szCs w:val="19"/>
              </w:rPr>
              <w:t xml:space="preserve"> (EFFECT)</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INT.EFECTIVO(int_nominal; núm_por_año)</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Tasa efectiva anual de una nominal vencida</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=INT.EFECTIVO(24%;12) → </w:t>
            </w:r>
            <w:r>
              <w:rPr>
                <w:rFonts w:ascii="Arial" w:cs="Arial" w:eastAsia="Arial" w:hAnsi="Arial"/>
                <w:sz w:val="19"/>
                <w:szCs w:val="19"/>
              </w:rPr>
              <w:t xml:space="preserve">26,82 %</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TASA.NOMINAL</w:t>
            </w:r>
            <w:r>
              <w:rPr>
                <w:rFonts w:ascii="Arial" w:cs="Arial" w:eastAsia="Arial" w:hAnsi="Arial"/>
                <w:sz w:val="19"/>
                <w:szCs w:val="19"/>
              </w:rPr>
              <w:t xml:space="preserve"> (NOMINAL)</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TASA.NOMINAL(tasa_efectiva; núm_por_año)</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Tasa nominal vencida de una efectiva</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=TASA.NOMINAL(26,82%;12) → </w:t>
            </w:r>
            <w:r>
              <w:rPr>
                <w:rFonts w:ascii="Arial" w:cs="Arial" w:eastAsia="Arial" w:hAnsi="Arial"/>
                <w:sz w:val="19"/>
                <w:szCs w:val="19"/>
              </w:rPr>
              <w:t xml:space="preserve">24,00 %</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VF.PLAN</w:t>
            </w:r>
            <w:r>
              <w:rPr>
                <w:rFonts w:ascii="Arial" w:cs="Arial" w:eastAsia="Arial" w:hAnsi="Arial"/>
                <w:sz w:val="19"/>
                <w:szCs w:val="19"/>
              </w:rPr>
              <w:t xml:space="preserve"> (FVSCHEDULE)</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VF.PLAN(capital; programación)</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Valor futuro con una tasa distinta en cada periodo</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$10 M a 9 %, 10,5 % y 11 %: =VF.PLAN(10000000;A1:A3), con las tasas en A1:A3 → </w:t>
            </w:r>
            <w:r>
              <w:rPr>
                <w:rFonts w:ascii="Arial" w:cs="Arial" w:eastAsia="Arial" w:hAnsi="Arial"/>
                <w:sz w:val="19"/>
                <w:szCs w:val="19"/>
              </w:rPr>
              <w:t xml:space="preserve">$13.369.395</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P.DURACION</w:t>
            </w:r>
            <w:r>
              <w:rPr>
                <w:rFonts w:ascii="Arial" w:cs="Arial" w:eastAsia="Arial" w:hAnsi="Arial"/>
                <w:sz w:val="19"/>
                <w:szCs w:val="19"/>
              </w:rPr>
              <w:t xml:space="preserve"> (PDURATION)</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P.DURACION(tasa; va; vf)</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Periodos para llegar a un valor objetivo (Excel 2013+)</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$10 M a $15 M al 1 % mensual → </w:t>
            </w:r>
            <w:r>
              <w:rPr>
                <w:rFonts w:ascii="Arial" w:cs="Arial" w:eastAsia="Arial" w:hAnsi="Arial"/>
                <w:sz w:val="19"/>
                <w:szCs w:val="19"/>
              </w:rPr>
              <w:t xml:space="preserve">40,75</w:t>
            </w:r>
            <w:r>
              <w:rPr>
                <w:rFonts w:ascii="Arial" w:cs="Arial" w:eastAsia="Arial" w:hAnsi="Arial"/>
                <w:sz w:val="19"/>
                <w:szCs w:val="19"/>
              </w:rPr>
              <w:t xml:space="preserve"> meses</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RRI</w:t>
            </w:r>
            <w:r>
              <w:rPr>
                <w:rFonts w:ascii="Arial" w:cs="Arial" w:eastAsia="Arial" w:hAnsi="Arial"/>
                <w:sz w:val="19"/>
                <w:szCs w:val="19"/>
              </w:rPr>
              <w:t xml:space="preserve"> (RRI)</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RRI(nper; va; vf)</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Tasa de crecimiento compuesta equivalente (Excel 2013+)</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De 100 a 150 en 5 años → </w:t>
            </w:r>
            <w:r>
              <w:rPr>
                <w:rFonts w:ascii="Arial" w:cs="Arial" w:eastAsia="Arial" w:hAnsi="Arial"/>
                <w:sz w:val="19"/>
                <w:szCs w:val="19"/>
              </w:rPr>
              <w:t xml:space="preserve">8,45 %</w:t>
            </w:r>
            <w:r>
              <w:rPr>
                <w:rFonts w:ascii="Arial" w:cs="Arial" w:eastAsia="Arial" w:hAnsi="Arial"/>
                <w:sz w:val="19"/>
                <w:szCs w:val="19"/>
              </w:rPr>
              <w:t xml:space="preserve"> anual</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F3864" w:sz="12"/>
              <w:left w:val="single" w:color="BFBFBF" w:sz="4"/>
              <w:bottom w:val="single" w:color="BFBFBF" w:sz="4"/>
              <w:right w:val="single" w:color="BFBFBF" w:sz="4"/>
            </w:tcBorders>
            <w:shd w:fill="DEEAF6" w:color="auto" w:val="clear"/>
            <w:tcMar>
              <w:top w:type="dxa" w:w="100"/>
              <w:left w:type="dxa" w:w="160"/>
              <w:bottom w:type="dxa" w:w="100"/>
              <w:right w:type="dxa" w:w="160"/>
            </w:tcMar>
          </w:tcPr>
          <w:p>
            <w:pPr>
              <w:spacing w:after="60"/>
            </w:pPr>
            <w:r>
              <w:rPr>
                <w:rFonts w:ascii="Arial" w:cs="Arial" w:eastAsia="Arial" w:hAnsi="Arial"/>
                <w:b/>
                <w:bCs/>
                <w:color w:val="1F3864"/>
                <w:sz w:val="21"/>
                <w:szCs w:val="21"/>
              </w:rPr>
              <w:t xml:space="preserve">Notas para clase</w:t>
            </w:r>
          </w:p>
          <w:p>
            <w:pPr>
              <w:spacing w:after="60"/>
            </w:pPr>
            <w:r>
              <w:rPr>
                <w:rFonts w:ascii="Arial" w:cs="Arial" w:eastAsia="Arial" w:hAnsi="Arial"/>
                <w:sz w:val="20"/>
                <w:szCs w:val="20"/>
              </w:rPr>
              <w:t xml:space="preserve">NPER puede dar un número no entero (31,57 cuotas): la última cuota es menor. Úselo para discutir cómo se redondea un plazo real.</w:t>
            </w:r>
          </w:p>
          <w:p>
            <w:pPr>
              <w:spacing w:after="60"/>
            </w:pPr>
            <w:r>
              <w:rPr>
                <w:rFonts w:ascii="Arial" w:cs="Arial" w:eastAsia="Arial" w:hAnsi="Arial"/>
                <w:sz w:val="20"/>
                <w:szCs w:val="20"/>
              </w:rPr>
              <w:t xml:space="preserve">TASA puede devolver #¡NUM! si no converge; dé un valor en el argumento estimar (por ejemplo 1 %).</w:t>
            </w:r>
          </w:p>
          <w:p>
            <w:pPr>
              <w:spacing w:after="60"/>
            </w:pPr>
            <w:r>
              <w:rPr>
                <w:rFonts w:ascii="Arial" w:cs="Arial" w:eastAsia="Arial" w:hAnsi="Arial"/>
                <w:sz w:val="20"/>
                <w:szCs w:val="20"/>
              </w:rPr>
              <w:t xml:space="preserve">VF.PLAN es útil con créditos indexados: una tasa por año (IBR + puntos, por ejemplo).</w:t>
            </w:r>
          </w:p>
        </w:tc>
      </w:tr>
    </w:tbl>
    <w:p>
      <w:pPr>
        <w:spacing w:after="80"/>
      </w:pPr>
    </w:p>
    <w:p>
      <w:pPr>
        <w:pStyle w:val="Heading1"/>
        <w:pageBreakBefore/>
      </w:pPr>
      <w:r>
        <w:rPr>
          <w:rFonts w:ascii="Arial" w:cs="Arial" w:eastAsia="Arial" w:hAnsi="Arial"/>
        </w:rPr>
        <w:t xml:space="preserve">4. Funciones para tablas de amortización</w:t>
      </w:r>
    </w:p>
    <w:p>
      <w:pPr>
        <w:spacing w:after="120" w:line="276"/>
        <w:jc w:val="both"/>
      </w:pPr>
      <w:r>
        <w:rPr>
          <w:rFonts w:ascii="Arial" w:cs="Arial" w:eastAsia="Arial" w:hAnsi="Arial"/>
        </w:rPr>
        <w:t xml:space="preserve">Ejemplo común: crédito de vivienda de $180 M a 180 meses con 13 % E.A. (tasa mensual de 1,0237 %; cuota de $2.193.324).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73"/>
        <w:gridCol w:w="2852"/>
        <w:gridCol w:w="2261"/>
        <w:gridCol w:w="2952"/>
      </w:tblGrid>
      <w:tr>
        <w:trPr>
          <w:tblHeader/>
        </w:trPr>
        <w:tc>
          <w:tcPr>
            <w:tcW w:type="dxa" w:w="1573"/>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Función</w:t>
            </w:r>
          </w:p>
        </w:tc>
        <w:tc>
          <w:tcPr>
            <w:tcW w:type="dxa" w:w="2852"/>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Sintaxis</w:t>
            </w:r>
          </w:p>
        </w:tc>
        <w:tc>
          <w:tcPr>
            <w:tcW w:type="dxa" w:w="2261"/>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Qué devuelve</w:t>
            </w:r>
          </w:p>
        </w:tc>
        <w:tc>
          <w:tcPr>
            <w:tcW w:type="dxa" w:w="2952"/>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Ejemplo y resultado</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PAGOINT</w:t>
            </w:r>
            <w:r>
              <w:rPr>
                <w:rFonts w:ascii="Arial" w:cs="Arial" w:eastAsia="Arial" w:hAnsi="Arial"/>
                <w:sz w:val="19"/>
                <w:szCs w:val="19"/>
              </w:rPr>
              <w:t xml:space="preserve"> (IPMT)</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PAGOINT(tasa; período; nper; va; [vf]; [tipo])</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Intereses de una cuota específica (cuota fija)</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Cuota 1: </w:t>
            </w:r>
            <w:r>
              <w:rPr>
                <w:rFonts w:ascii="Arial" w:cs="Arial" w:eastAsia="Arial" w:hAnsi="Arial"/>
                <w:sz w:val="19"/>
                <w:szCs w:val="19"/>
              </w:rPr>
              <w:t xml:space="preserve">$1.842.632</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PAGOPRIN</w:t>
            </w:r>
            <w:r>
              <w:rPr>
                <w:rFonts w:ascii="Arial" w:cs="Arial" w:eastAsia="Arial" w:hAnsi="Arial"/>
                <w:sz w:val="19"/>
                <w:szCs w:val="19"/>
              </w:rPr>
              <w:t xml:space="preserve"> (PPMT)</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PAGOPRIN(tasa; período; nper; va; [vf]; [tipo])</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Abono a capital de una cuota específica</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Cuota 1: </w:t>
            </w:r>
            <w:r>
              <w:rPr>
                <w:rFonts w:ascii="Arial" w:cs="Arial" w:eastAsia="Arial" w:hAnsi="Arial"/>
                <w:sz w:val="19"/>
                <w:szCs w:val="19"/>
              </w:rPr>
              <w:t xml:space="preserve">$350.692</w:t>
            </w:r>
            <w:r>
              <w:rPr>
                <w:rFonts w:ascii="Arial" w:cs="Arial" w:eastAsia="Arial" w:hAnsi="Arial"/>
                <w:sz w:val="19"/>
                <w:szCs w:val="19"/>
              </w:rPr>
              <w:t xml:space="preserve">. PAGOINT + PAGOPRIN = PAGO.</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PAGO.INT.ENTRE</w:t>
            </w:r>
            <w:r>
              <w:rPr>
                <w:rFonts w:ascii="Arial" w:cs="Arial" w:eastAsia="Arial" w:hAnsi="Arial"/>
                <w:sz w:val="19"/>
                <w:szCs w:val="19"/>
              </w:rPr>
              <w:t xml:space="preserve"> (CUMIPMT)</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PAGO.INT.ENTRE(tasa; nper; va; per_inicial; per_final; tipo)</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Intereses acumulados entre dos cuotas</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Primer año (cuotas 1 a 12): </w:t>
            </w:r>
            <w:r>
              <w:rPr>
                <w:rFonts w:ascii="Arial" w:cs="Arial" w:eastAsia="Arial" w:hAnsi="Arial"/>
                <w:sz w:val="19"/>
                <w:szCs w:val="19"/>
              </w:rPr>
              <w:t xml:space="preserve">$21.866.371</w:t>
            </w:r>
            <w:r>
              <w:rPr>
                <w:rFonts w:ascii="Arial" w:cs="Arial" w:eastAsia="Arial" w:hAnsi="Arial"/>
                <w:sz w:val="19"/>
                <w:szCs w:val="19"/>
              </w:rPr>
              <w:t xml:space="preserve">. Devuelve un valor negativo; el argumento tipo es obligatorio.</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PAGO.PRINC.ENTRE</w:t>
            </w:r>
            <w:r>
              <w:rPr>
                <w:rFonts w:ascii="Arial" w:cs="Arial" w:eastAsia="Arial" w:hAnsi="Arial"/>
                <w:sz w:val="19"/>
                <w:szCs w:val="19"/>
              </w:rPr>
              <w:t xml:space="preserve"> (CUMPRINC)</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PAGO.PRINC.ENTRE(tasa; nper; va; per_inicial; per_final; tipo)</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Capital acumulado pagado entre dos cuotas</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Cuotas 1 a 60: </w:t>
            </w:r>
            <w:r>
              <w:rPr>
                <w:rFonts w:ascii="Arial" w:cs="Arial" w:eastAsia="Arial" w:hAnsi="Arial"/>
                <w:sz w:val="19"/>
                <w:szCs w:val="19"/>
              </w:rPr>
              <w:t xml:space="preserve">$28.860.017</w:t>
            </w:r>
            <w:r>
              <w:rPr>
                <w:rFonts w:ascii="Arial" w:cs="Arial" w:eastAsia="Arial" w:hAnsi="Arial"/>
                <w:sz w:val="19"/>
                <w:szCs w:val="19"/>
              </w:rPr>
              <w:t xml:space="preserve">; saldo después de 5 años: </w:t>
            </w:r>
            <w:r>
              <w:rPr>
                <w:rFonts w:ascii="Arial" w:cs="Arial" w:eastAsia="Arial" w:hAnsi="Arial"/>
                <w:sz w:val="19"/>
                <w:szCs w:val="19"/>
              </w:rPr>
              <w:t xml:space="preserve">$151.139.983</w:t>
            </w:r>
            <w:r>
              <w:rPr>
                <w:rFonts w:ascii="Arial" w:cs="Arial" w:eastAsia="Arial" w:hAnsi="Arial"/>
                <w:sz w:val="19"/>
                <w:szCs w:val="19"/>
              </w:rPr>
              <w:t xml:space="preserve">.</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INT.PAGO.DIR</w:t>
            </w:r>
            <w:r>
              <w:rPr>
                <w:rFonts w:ascii="Arial" w:cs="Arial" w:eastAsia="Arial" w:hAnsi="Arial"/>
                <w:sz w:val="19"/>
                <w:szCs w:val="19"/>
              </w:rPr>
              <w:t xml:space="preserve"> (ISPMT)</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INT.PAGO.DIR(tasa; período; nper; va)</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Intereses de un periodo con abonos iguales a capital</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Primer periodo: =-INT.PAGO.DIR(i;0;180;180000000) → </w:t>
            </w:r>
            <w:r>
              <w:rPr>
                <w:rFonts w:ascii="Arial" w:cs="Arial" w:eastAsia="Arial" w:hAnsi="Arial"/>
                <w:sz w:val="19"/>
                <w:szCs w:val="19"/>
              </w:rPr>
              <w:t xml:space="preserve">$1.842.632</w:t>
            </w:r>
            <w:r>
              <w:rPr>
                <w:rFonts w:ascii="Arial" w:cs="Arial" w:eastAsia="Arial" w:hAnsi="Arial"/>
                <w:sz w:val="19"/>
                <w:szCs w:val="19"/>
              </w:rPr>
              <w:t xml:space="preserve">. Cuenta los periodos desde 0.</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F3864" w:sz="12"/>
              <w:left w:val="single" w:color="BFBFBF" w:sz="4"/>
              <w:bottom w:val="single" w:color="BFBFBF" w:sz="4"/>
              <w:right w:val="single" w:color="BFBFBF" w:sz="4"/>
            </w:tcBorders>
            <w:shd w:fill="DEEAF6" w:color="auto" w:val="clear"/>
            <w:tcMar>
              <w:top w:type="dxa" w:w="100"/>
              <w:left w:type="dxa" w:w="160"/>
              <w:bottom w:type="dxa" w:w="100"/>
              <w:right w:type="dxa" w:w="160"/>
            </w:tcMar>
          </w:tcPr>
          <w:p>
            <w:pPr>
              <w:spacing w:after="60"/>
            </w:pPr>
            <w:r>
              <w:rPr>
                <w:rFonts w:ascii="Arial" w:cs="Arial" w:eastAsia="Arial" w:hAnsi="Arial"/>
                <w:b/>
                <w:bCs/>
                <w:color w:val="1F3864"/>
                <w:sz w:val="21"/>
                <w:szCs w:val="21"/>
              </w:rPr>
              <w:t xml:space="preserve">Lo que Excel no resuelve con una sola función</w:t>
            </w:r>
          </w:p>
          <w:p>
            <w:pPr>
              <w:spacing w:after="60"/>
            </w:pPr>
            <w:r>
              <w:rPr>
                <w:rFonts w:ascii="Arial" w:cs="Arial" w:eastAsia="Arial" w:hAnsi="Arial"/>
                <w:b/>
                <w:bCs/>
                <w:sz w:val="20"/>
                <w:szCs w:val="20"/>
              </w:rPr>
              <w:t xml:space="preserve">Abono constante a capital:</w:t>
            </w:r>
            <w:r>
              <w:rPr>
                <w:rFonts w:ascii="Arial" w:cs="Arial" w:eastAsia="Arial" w:hAnsi="Arial"/>
                <w:sz w:val="20"/>
                <w:szCs w:val="20"/>
              </w:rPr>
              <w:t xml:space="preserve"> no hay función de cuota. Se construye la tabla: abono = monto / n; intereses = saldo × i; cuota = abono + intereses.</w:t>
            </w:r>
          </w:p>
          <w:p>
            <w:pPr>
              <w:spacing w:after="60"/>
            </w:pPr>
            <w:r>
              <w:rPr>
                <w:rFonts w:ascii="Arial" w:cs="Arial" w:eastAsia="Arial" w:hAnsi="Arial"/>
                <w:b/>
                <w:bCs/>
                <w:sz w:val="20"/>
                <w:szCs w:val="20"/>
              </w:rPr>
              <w:t xml:space="preserve">Gracia muerta:</w:t>
            </w:r>
            <w:r>
              <w:rPr>
                <w:rFonts w:ascii="Arial" w:cs="Arial" w:eastAsia="Arial" w:hAnsi="Arial"/>
                <w:sz w:val="20"/>
                <w:szCs w:val="20"/>
              </w:rPr>
              <w:t xml:space="preserve"> primero se capitaliza el saldo con VF (o monto × (1 + i)^periodos de gracia) y luego se aplica PAGO o el abono constante sobre ese saldo.</w:t>
            </w:r>
          </w:p>
          <w:p>
            <w:pPr>
              <w:spacing w:after="60"/>
            </w:pPr>
            <w:r>
              <w:rPr>
                <w:rFonts w:ascii="Arial" w:cs="Arial" w:eastAsia="Arial" w:hAnsi="Arial"/>
                <w:b/>
                <w:bCs/>
                <w:sz w:val="20"/>
                <w:szCs w:val="20"/>
              </w:rPr>
              <w:t xml:space="preserve">Gradientes:</w:t>
            </w:r>
            <w:r>
              <w:rPr>
                <w:rFonts w:ascii="Arial" w:cs="Arial" w:eastAsia="Arial" w:hAnsi="Arial"/>
                <w:sz w:val="20"/>
                <w:szCs w:val="20"/>
              </w:rPr>
              <w:t xml:space="preserve"> no hay función. Se construye la columna de pagos y se descuenta con VNA, o se usan las fórmulas cerradas. Así se resuelven los créditos 7, 8 y 9 del Taller de amortización.</w:t>
            </w:r>
          </w:p>
          <w:p>
            <w:pPr>
              <w:spacing w:after="60"/>
            </w:pPr>
            <w:r>
              <w:rPr>
                <w:rFonts w:ascii="Arial" w:cs="Arial" w:eastAsia="Arial" w:hAnsi="Arial"/>
                <w:b/>
                <w:bCs/>
                <w:sz w:val="20"/>
                <w:szCs w:val="20"/>
              </w:rPr>
              <w:t xml:space="preserve">Saldo de un crédito:</w:t>
            </w:r>
            <w:r>
              <w:rPr>
                <w:rFonts w:ascii="Arial" w:cs="Arial" w:eastAsia="Arial" w:hAnsi="Arial"/>
                <w:sz w:val="20"/>
                <w:szCs w:val="20"/>
              </w:rPr>
              <w:t xml:space="preserve"> es el valor presente de las cuotas que faltan: =VA(i;cuotas restantes;-cuota). Coincide con monto − PAGO.PRINC.ENTRE.</w:t>
            </w:r>
          </w:p>
        </w:tc>
      </w:tr>
    </w:tbl>
    <w:p>
      <w:pPr>
        <w:spacing w:after="80"/>
      </w:pPr>
    </w:p>
    <w:p>
      <w:pPr>
        <w:pStyle w:val="Heading1"/>
        <w:pageBreakBefore/>
      </w:pPr>
      <w:r>
        <w:rPr>
          <w:rFonts w:ascii="Arial" w:cs="Arial" w:eastAsia="Arial" w:hAnsi="Arial"/>
        </w:rPr>
        <w:t xml:space="preserve">5. Evaluación de inversiones</w:t>
      </w:r>
    </w:p>
    <w:p>
      <w:pPr>
        <w:spacing w:after="120" w:line="276"/>
        <w:jc w:val="both"/>
      </w:pPr>
      <w:r>
        <w:rPr>
          <w:rFonts w:ascii="Arial" w:cs="Arial" w:eastAsia="Arial" w:hAnsi="Arial"/>
        </w:rPr>
        <w:t xml:space="preserve">Ejemplo común: máquinas A (−120; 40; 40; 40; 40; 50) y B (−260; 82; 82; 82; 82; 112), en millones de pesos, con tasa de descuento de 14 %.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73"/>
        <w:gridCol w:w="2852"/>
        <w:gridCol w:w="2261"/>
        <w:gridCol w:w="2952"/>
      </w:tblGrid>
      <w:tr>
        <w:trPr>
          <w:tblHeader/>
        </w:trPr>
        <w:tc>
          <w:tcPr>
            <w:tcW w:type="dxa" w:w="1573"/>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Función</w:t>
            </w:r>
          </w:p>
        </w:tc>
        <w:tc>
          <w:tcPr>
            <w:tcW w:type="dxa" w:w="2852"/>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Sintaxis</w:t>
            </w:r>
          </w:p>
        </w:tc>
        <w:tc>
          <w:tcPr>
            <w:tcW w:type="dxa" w:w="2261"/>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Qué devuelve</w:t>
            </w:r>
          </w:p>
        </w:tc>
        <w:tc>
          <w:tcPr>
            <w:tcW w:type="dxa" w:w="2952"/>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Ejemplo y resultado</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VNA</w:t>
            </w:r>
            <w:r>
              <w:rPr>
                <w:rFonts w:ascii="Arial" w:cs="Arial" w:eastAsia="Arial" w:hAnsi="Arial"/>
                <w:sz w:val="19"/>
                <w:szCs w:val="19"/>
              </w:rPr>
              <w:t xml:space="preserve"> (NPV)</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VNA(tasa; valor1; [valor2]; …)</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Valor presente de flujos desde el periodo 1</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VPN de A: =VNA(14%;B7:B11)+B6 → </w:t>
            </w:r>
            <w:r>
              <w:rPr>
                <w:rFonts w:ascii="Arial" w:cs="Arial" w:eastAsia="Arial" w:hAnsi="Arial"/>
                <w:sz w:val="19"/>
                <w:szCs w:val="19"/>
              </w:rPr>
              <w:t xml:space="preserve">22,52</w:t>
            </w:r>
            <w:r>
              <w:rPr>
                <w:rFonts w:ascii="Arial" w:cs="Arial" w:eastAsia="Arial" w:hAnsi="Arial"/>
                <w:sz w:val="19"/>
                <w:szCs w:val="19"/>
              </w:rPr>
              <w:t xml:space="preserve">; de B: </w:t>
            </w:r>
            <w:r>
              <w:rPr>
                <w:rFonts w:ascii="Arial" w:cs="Arial" w:eastAsia="Arial" w:hAnsi="Arial"/>
                <w:sz w:val="19"/>
                <w:szCs w:val="19"/>
              </w:rPr>
              <w:t xml:space="preserve">37,09</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TIR</w:t>
            </w:r>
            <w:r>
              <w:rPr>
                <w:rFonts w:ascii="Arial" w:cs="Arial" w:eastAsia="Arial" w:hAnsi="Arial"/>
                <w:sz w:val="19"/>
                <w:szCs w:val="19"/>
              </w:rPr>
              <w:t xml:space="preserve"> (IRR)</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TIR(valores; [estimar])</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Tasa interna de retorno de flujos periódicos</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A: </w:t>
            </w:r>
            <w:r>
              <w:rPr>
                <w:rFonts w:ascii="Arial" w:cs="Arial" w:eastAsia="Arial" w:hAnsi="Arial"/>
                <w:sz w:val="19"/>
                <w:szCs w:val="19"/>
              </w:rPr>
              <w:t xml:space="preserve">21,33 %</w:t>
            </w:r>
            <w:r>
              <w:rPr>
                <w:rFonts w:ascii="Arial" w:cs="Arial" w:eastAsia="Arial" w:hAnsi="Arial"/>
                <w:sz w:val="19"/>
                <w:szCs w:val="19"/>
              </w:rPr>
              <w:t xml:space="preserve">; B: </w:t>
            </w:r>
            <w:r>
              <w:rPr>
                <w:rFonts w:ascii="Arial" w:cs="Arial" w:eastAsia="Arial" w:hAnsi="Arial"/>
                <w:sz w:val="19"/>
                <w:szCs w:val="19"/>
              </w:rPr>
              <w:t xml:space="preserve">19,54 %</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TIRM</w:t>
            </w:r>
            <w:r>
              <w:rPr>
                <w:rFonts w:ascii="Arial" w:cs="Arial" w:eastAsia="Arial" w:hAnsi="Arial"/>
                <w:sz w:val="19"/>
                <w:szCs w:val="19"/>
              </w:rPr>
              <w:t xml:space="preserve"> (MIRR)</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TIRM(valores; tasa_financiamiento; tasa_reinversión)</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TIR con reinversión a una tasa explícita</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B, financiación 14 % y reinversión 12 %: </w:t>
            </w:r>
            <w:r>
              <w:rPr>
                <w:rFonts w:ascii="Arial" w:cs="Arial" w:eastAsia="Arial" w:hAnsi="Arial"/>
                <w:sz w:val="19"/>
                <w:szCs w:val="19"/>
              </w:rPr>
              <w:t xml:space="preserve">16,21 %</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VNA.NO.PER</w:t>
            </w:r>
            <w:r>
              <w:rPr>
                <w:rFonts w:ascii="Arial" w:cs="Arial" w:eastAsia="Arial" w:hAnsi="Arial"/>
                <w:sz w:val="19"/>
                <w:szCs w:val="19"/>
              </w:rPr>
              <w:t xml:space="preserve"> (XNPV)</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VNA.NO.PER(tasa; valores; fechas)</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VPN con fechas irregulares (base 365)</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Flujos con fechas reales: </w:t>
            </w:r>
            <w:r>
              <w:rPr>
                <w:rFonts w:ascii="Arial" w:cs="Arial" w:eastAsia="Arial" w:hAnsi="Arial"/>
                <w:sz w:val="19"/>
                <w:szCs w:val="19"/>
              </w:rPr>
              <w:t xml:space="preserve">26,50</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TIR.NO.PER</w:t>
            </w:r>
            <w:r>
              <w:rPr>
                <w:rFonts w:ascii="Arial" w:cs="Arial" w:eastAsia="Arial" w:hAnsi="Arial"/>
                <w:sz w:val="19"/>
                <w:szCs w:val="19"/>
              </w:rPr>
              <w:t xml:space="preserve"> (XIRR)</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TIR.NO.PER(valores; fechas; [estimar])</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TIR efectiva anual con fechas irregulares</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24,64 %</w:t>
            </w:r>
            <w:r>
              <w:rPr>
                <w:rFonts w:ascii="Arial" w:cs="Arial" w:eastAsia="Arial" w:hAnsi="Arial"/>
                <w:sz w:val="19"/>
                <w:szCs w:val="19"/>
              </w:rPr>
              <w:t xml:space="preserve"> efectiva anual</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F3864" w:sz="12"/>
              <w:left w:val="single" w:color="BFBFBF" w:sz="4"/>
              <w:bottom w:val="single" w:color="BFBFBF" w:sz="4"/>
              <w:right w:val="single" w:color="BFBFBF" w:sz="4"/>
            </w:tcBorders>
            <w:shd w:fill="FBE5D6" w:color="auto" w:val="clear"/>
            <w:tcMar>
              <w:top w:type="dxa" w:w="100"/>
              <w:left w:type="dxa" w:w="160"/>
              <w:bottom w:type="dxa" w:w="100"/>
              <w:right w:type="dxa" w:w="160"/>
            </w:tcMar>
          </w:tcPr>
          <w:p>
            <w:pPr>
              <w:spacing w:after="60"/>
            </w:pPr>
            <w:r>
              <w:rPr>
                <w:rFonts w:ascii="Arial" w:cs="Arial" w:eastAsia="Arial" w:hAnsi="Arial"/>
                <w:b/>
                <w:bCs/>
                <w:color w:val="1F3864"/>
                <w:sz w:val="21"/>
                <w:szCs w:val="21"/>
              </w:rPr>
              <w:t xml:space="preserve">Errores frecuentes</w:t>
            </w:r>
          </w:p>
          <w:p>
            <w:pPr>
              <w:spacing w:after="60"/>
            </w:pPr>
            <w:r>
              <w:rPr>
                <w:rFonts w:ascii="Arial" w:cs="Arial" w:eastAsia="Arial" w:hAnsi="Arial"/>
                <w:b/>
                <w:bCs/>
                <w:sz w:val="20"/>
                <w:szCs w:val="20"/>
              </w:rPr>
              <w:t xml:space="preserve">Meter el año 0 dentro de VNA.</w:t>
            </w:r>
            <w:r>
              <w:rPr>
                <w:rFonts w:ascii="Arial" w:cs="Arial" w:eastAsia="Arial" w:hAnsi="Arial"/>
                <w:sz w:val="20"/>
                <w:szCs w:val="20"/>
              </w:rPr>
              <w:t xml:space="preserve"> VNA descuenta el primer valor un periodo; la inversión inicial se suma por fuera. VNA.NO.PER, en cambio, sí incluye el flujo inicial.</w:t>
            </w:r>
          </w:p>
          <w:p>
            <w:pPr>
              <w:spacing w:after="60"/>
            </w:pPr>
            <w:r>
              <w:rPr>
                <w:rFonts w:ascii="Arial" w:cs="Arial" w:eastAsia="Arial" w:hAnsi="Arial"/>
                <w:b/>
                <w:bCs/>
                <w:sz w:val="20"/>
                <w:szCs w:val="20"/>
              </w:rPr>
              <w:t xml:space="preserve">Elegir entre excluyentes por la TIR.</w:t>
            </w:r>
            <w:r>
              <w:rPr>
                <w:rFonts w:ascii="Arial" w:cs="Arial" w:eastAsia="Arial" w:hAnsi="Arial"/>
                <w:sz w:val="20"/>
                <w:szCs w:val="20"/>
              </w:rPr>
              <w:t xml:space="preserve"> En el ejemplo, A tiene mayor TIR y B mayor VPN: se elige B.</w:t>
            </w:r>
          </w:p>
          <w:p>
            <w:pPr>
              <w:spacing w:after="60"/>
            </w:pPr>
            <w:r>
              <w:rPr>
                <w:rFonts w:ascii="Arial" w:cs="Arial" w:eastAsia="Arial" w:hAnsi="Arial"/>
                <w:b/>
                <w:bCs/>
                <w:sz w:val="20"/>
                <w:szCs w:val="20"/>
              </w:rPr>
              <w:t xml:space="preserve">Flujos con más de un cambio de signo.</w:t>
            </w:r>
            <w:r>
              <w:rPr>
                <w:rFonts w:ascii="Arial" w:cs="Arial" w:eastAsia="Arial" w:hAnsi="Arial"/>
                <w:sz w:val="20"/>
                <w:szCs w:val="20"/>
              </w:rPr>
              <w:t xml:space="preserve"> TIR puede tener varias soluciones o ninguna; use VPN o TIRM.</w:t>
            </w:r>
          </w:p>
        </w:tc>
      </w:tr>
    </w:tbl>
    <w:p>
      <w:pPr>
        <w:spacing w:after="80"/>
      </w:pPr>
    </w:p>
    <w:p>
      <w:pPr>
        <w:pStyle w:val="Heading1"/>
        <w:pageBreakBefore/>
      </w:pPr>
      <w:r>
        <w:rPr>
          <w:rFonts w:ascii="Arial" w:cs="Arial" w:eastAsia="Arial" w:hAnsi="Arial"/>
        </w:rPr>
        <w:t xml:space="preserve">6. Depreciación</w:t>
      </w:r>
    </w:p>
    <w:p>
      <w:pPr>
        <w:spacing w:after="120" w:line="276"/>
        <w:jc w:val="both"/>
      </w:pPr>
      <w:r>
        <w:rPr>
          <w:rFonts w:ascii="Arial" w:cs="Arial" w:eastAsia="Arial" w:hAnsi="Arial"/>
        </w:rPr>
        <w:t xml:space="preserve">Ejemplo: equipo de $120 M, valor residual de $20 M, vida útil de 5 años. La depreciación entra al flujo de caja de los proyectos porque reduce el impuesto de renta.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73"/>
        <w:gridCol w:w="2852"/>
        <w:gridCol w:w="2261"/>
        <w:gridCol w:w="2952"/>
      </w:tblGrid>
      <w:tr>
        <w:trPr>
          <w:tblHeader/>
        </w:trPr>
        <w:tc>
          <w:tcPr>
            <w:tcW w:type="dxa" w:w="1573"/>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Función</w:t>
            </w:r>
          </w:p>
        </w:tc>
        <w:tc>
          <w:tcPr>
            <w:tcW w:type="dxa" w:w="2852"/>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Sintaxis</w:t>
            </w:r>
          </w:p>
        </w:tc>
        <w:tc>
          <w:tcPr>
            <w:tcW w:type="dxa" w:w="2261"/>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Qué devuelve</w:t>
            </w:r>
          </w:p>
        </w:tc>
        <w:tc>
          <w:tcPr>
            <w:tcW w:type="dxa" w:w="2952"/>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Ejemplo y resultado</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SLN</w:t>
            </w:r>
            <w:r>
              <w:rPr>
                <w:rFonts w:ascii="Arial" w:cs="Arial" w:eastAsia="Arial" w:hAnsi="Arial"/>
                <w:sz w:val="19"/>
                <w:szCs w:val="19"/>
              </w:rPr>
              <w:t xml:space="preserve"> (SLN)</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SLN(costo; valor_residual; vida)</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Línea recta</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$20.000.000</w:t>
            </w:r>
            <w:r>
              <w:rPr>
                <w:rFonts w:ascii="Arial" w:cs="Arial" w:eastAsia="Arial" w:hAnsi="Arial"/>
                <w:sz w:val="19"/>
                <w:szCs w:val="19"/>
              </w:rPr>
              <w:t xml:space="preserve"> por año</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SYD</w:t>
            </w:r>
            <w:r>
              <w:rPr>
                <w:rFonts w:ascii="Arial" w:cs="Arial" w:eastAsia="Arial" w:hAnsi="Arial"/>
                <w:sz w:val="19"/>
                <w:szCs w:val="19"/>
              </w:rPr>
              <w:t xml:space="preserve"> (SYD)</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SYD(costo; valor_residual; vida; período)</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Suma de los dígitos de los años</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Año 1: </w:t>
            </w:r>
            <w:r>
              <w:rPr>
                <w:rFonts w:ascii="Arial" w:cs="Arial" w:eastAsia="Arial" w:hAnsi="Arial"/>
                <w:sz w:val="19"/>
                <w:szCs w:val="19"/>
              </w:rPr>
              <w:t xml:space="preserve">$33.333.333</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DB</w:t>
            </w:r>
            <w:r>
              <w:rPr>
                <w:rFonts w:ascii="Arial" w:cs="Arial" w:eastAsia="Arial" w:hAnsi="Arial"/>
                <w:sz w:val="19"/>
                <w:szCs w:val="19"/>
              </w:rPr>
              <w:t xml:space="preserve"> (DB)</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DB(costo; valor_residual; vida; período; [mes])</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Saldo fijo decreciente</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Año 1: </w:t>
            </w:r>
            <w:r>
              <w:rPr>
                <w:rFonts w:ascii="Arial" w:cs="Arial" w:eastAsia="Arial" w:hAnsi="Arial"/>
                <w:sz w:val="19"/>
                <w:szCs w:val="19"/>
              </w:rPr>
              <w:t xml:space="preserve">$36.120.000</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DDB</w:t>
            </w:r>
            <w:r>
              <w:rPr>
                <w:rFonts w:ascii="Arial" w:cs="Arial" w:eastAsia="Arial" w:hAnsi="Arial"/>
                <w:sz w:val="19"/>
                <w:szCs w:val="19"/>
              </w:rPr>
              <w:t xml:space="preserve"> (DDB)</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DDB(costo; valor_residual; vida; período; [factor])</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Doble saldo decreciente</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Año 1: </w:t>
            </w:r>
            <w:r>
              <w:rPr>
                <w:rFonts w:ascii="Arial" w:cs="Arial" w:eastAsia="Arial" w:hAnsi="Arial"/>
                <w:sz w:val="19"/>
                <w:szCs w:val="19"/>
              </w:rPr>
              <w:t xml:space="preserve">$48.000.000</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DVS</w:t>
            </w:r>
            <w:r>
              <w:rPr>
                <w:rFonts w:ascii="Arial" w:cs="Arial" w:eastAsia="Arial" w:hAnsi="Arial"/>
                <w:sz w:val="19"/>
                <w:szCs w:val="19"/>
              </w:rPr>
              <w:t xml:space="preserve"> (VDB)</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DVS(costo; valor_residual; vida; per_inicial; per_final; [factor]; [sin_cambios])</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Saldo decreciente entre dos periodos</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Años 0 a 2: </w:t>
            </w:r>
            <w:r>
              <w:rPr>
                <w:rFonts w:ascii="Arial" w:cs="Arial" w:eastAsia="Arial" w:hAnsi="Arial"/>
                <w:sz w:val="19"/>
                <w:szCs w:val="19"/>
              </w:rPr>
              <w:t xml:space="preserve">$76.800.000</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AMORTIZ.LIN</w:t>
            </w:r>
            <w:r>
              <w:rPr>
                <w:rFonts w:ascii="Arial" w:cs="Arial" w:eastAsia="Arial" w:hAnsi="Arial"/>
                <w:sz w:val="19"/>
                <w:szCs w:val="19"/>
              </w:rPr>
              <w:t xml:space="preserve"> (AMORLINC)</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AMORTIZ.LIN(costo; fecha_compra; primer_período; costo_residual; período; tasa; [base])</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Depreciación lineal por periodo contable (sistema francés)</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Primer periodo prorrateado: </w:t>
            </w:r>
            <w:r>
              <w:rPr>
                <w:rFonts w:ascii="Arial" w:cs="Arial" w:eastAsia="Arial" w:hAnsi="Arial"/>
                <w:sz w:val="19"/>
                <w:szCs w:val="19"/>
              </w:rPr>
              <w:t xml:space="preserve">$20.054.795</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AMORTIZ.PROGRE</w:t>
            </w:r>
            <w:r>
              <w:rPr>
                <w:rFonts w:ascii="Arial" w:cs="Arial" w:eastAsia="Arial" w:hAnsi="Arial"/>
                <w:sz w:val="19"/>
                <w:szCs w:val="19"/>
              </w:rPr>
              <w:t xml:space="preserve"> (AMORDEGRC)</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AMORTIZ.PROGRE(mismos argumentos)</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Depreciación con coeficiente (sistema francés)</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Periodo 1: </w:t>
            </w:r>
            <w:r>
              <w:rPr>
                <w:rFonts w:ascii="Arial" w:cs="Arial" w:eastAsia="Arial" w:hAnsi="Arial"/>
                <w:sz w:val="19"/>
                <w:szCs w:val="19"/>
              </w:rPr>
              <w:t xml:space="preserve">$31.956.164</w:t>
            </w:r>
          </w:p>
        </w:tc>
      </w:tr>
    </w:tbl>
    <w:p>
      <w:pPr>
        <w:spacing w:after="80"/>
      </w:pPr>
    </w:p>
    <w:p>
      <w:pPr>
        <w:spacing w:after="120" w:line="276"/>
        <w:jc w:val="both"/>
      </w:pPr>
      <w:r>
        <w:rPr>
          <w:rFonts w:ascii="Arial" w:cs="Arial" w:eastAsia="Arial" w:hAnsi="Arial"/>
          <w:i/>
          <w:iCs/>
        </w:rPr>
        <w:t xml:space="preserve">En Colombia, para efectos fiscales, el método más usado es la línea recta según la vida útil del activo (art. 137 del Estatuto Tributario). Los métodos acelerados sirven para discutir el efecto de la depreciación en el valor presente de los impuestos.</w:t>
      </w:r>
    </w:p>
    <w:p>
      <w:pPr>
        <w:pStyle w:val="Heading1"/>
        <w:pageBreakBefore/>
      </w:pPr>
      <w:r>
        <w:rPr>
          <w:rFonts w:ascii="Arial" w:cs="Arial" w:eastAsia="Arial" w:hAnsi="Arial"/>
        </w:rPr>
        <w:t xml:space="preserve">7. Títulos de renta fija</w:t>
      </w:r>
    </w:p>
    <w:p>
      <w:pPr>
        <w:spacing w:after="120" w:line="276"/>
        <w:jc w:val="both"/>
      </w:pPr>
      <w:r>
        <w:rPr>
          <w:rFonts w:ascii="Arial" w:cs="Arial" w:eastAsia="Arial" w:hAnsi="Arial"/>
        </w:rPr>
        <w:t xml:space="preserve">Ejemplo: bono ficticio con cupón de 9 % anual, valor de 100, comprado el 15/10/2026 y con vencimiento el 15/10/2031 (base 1). Además, un título descontado de 180 días comprado a 95,5.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73"/>
        <w:gridCol w:w="2852"/>
        <w:gridCol w:w="2261"/>
        <w:gridCol w:w="2952"/>
      </w:tblGrid>
      <w:tr>
        <w:trPr>
          <w:tblHeader/>
        </w:trPr>
        <w:tc>
          <w:tcPr>
            <w:tcW w:type="dxa" w:w="1573"/>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Función</w:t>
            </w:r>
          </w:p>
        </w:tc>
        <w:tc>
          <w:tcPr>
            <w:tcW w:type="dxa" w:w="2852"/>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Sintaxis</w:t>
            </w:r>
          </w:p>
        </w:tc>
        <w:tc>
          <w:tcPr>
            <w:tcW w:type="dxa" w:w="2261"/>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Qué devuelve</w:t>
            </w:r>
          </w:p>
        </w:tc>
        <w:tc>
          <w:tcPr>
            <w:tcW w:type="dxa" w:w="2952"/>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Ejemplo y resultado</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PRECIO</w:t>
            </w:r>
            <w:r>
              <w:rPr>
                <w:rFonts w:ascii="Arial" w:cs="Arial" w:eastAsia="Arial" w:hAnsi="Arial"/>
                <w:sz w:val="19"/>
                <w:szCs w:val="19"/>
              </w:rPr>
              <w:t xml:space="preserve"> (PRICE)</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PRECIO(liq; vencto; tasa; rendto; amortización; frec; [base])</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Precio por cada 100 de valor nominal</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Si el mercado exige 10,5 %: </w:t>
            </w:r>
            <w:r>
              <w:rPr>
                <w:rFonts w:ascii="Arial" w:cs="Arial" w:eastAsia="Arial" w:hAnsi="Arial"/>
                <w:sz w:val="19"/>
                <w:szCs w:val="19"/>
              </w:rPr>
              <w:t xml:space="preserve">94,3857</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RENDTO</w:t>
            </w:r>
            <w:r>
              <w:rPr>
                <w:rFonts w:ascii="Arial" w:cs="Arial" w:eastAsia="Arial" w:hAnsi="Arial"/>
                <w:sz w:val="19"/>
                <w:szCs w:val="19"/>
              </w:rPr>
              <w:t xml:space="preserve"> (YIELD)</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RENDTO(liq; vencto; tasa; pr; amortización; frec; [base])</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Rendimiento al vencimiento</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Comprado a 95: </w:t>
            </w:r>
            <w:r>
              <w:rPr>
                <w:rFonts w:ascii="Arial" w:cs="Arial" w:eastAsia="Arial" w:hAnsi="Arial"/>
                <w:sz w:val="19"/>
                <w:szCs w:val="19"/>
              </w:rPr>
              <w:t xml:space="preserve">10,33 %</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DURACION</w:t>
            </w:r>
            <w:r>
              <w:rPr>
                <w:rFonts w:ascii="Arial" w:cs="Arial" w:eastAsia="Arial" w:hAnsi="Arial"/>
                <w:sz w:val="19"/>
                <w:szCs w:val="19"/>
              </w:rPr>
              <w:t xml:space="preserve"> (DURATION)</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DURACION(liq; vencto; cupón; rendto; frec; [base])</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Duración de Macaulay en años</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4,22</w:t>
            </w:r>
            <w:r>
              <w:rPr>
                <w:rFonts w:ascii="Arial" w:cs="Arial" w:eastAsia="Arial" w:hAnsi="Arial"/>
                <w:sz w:val="19"/>
                <w:szCs w:val="19"/>
              </w:rPr>
              <w:t xml:space="preserve"> años</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DURACION.MODIF</w:t>
            </w:r>
            <w:r>
              <w:rPr>
                <w:rFonts w:ascii="Arial" w:cs="Arial" w:eastAsia="Arial" w:hAnsi="Arial"/>
                <w:sz w:val="19"/>
                <w:szCs w:val="19"/>
              </w:rPr>
              <w:t xml:space="preserve"> (MDURATION)</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DURACION.MODIF(liq; vencto; cupón; rendto; frec; [base])</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Sensibilidad del precio a la tasa</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3,82</w:t>
            </w:r>
            <w:r>
              <w:rPr>
                <w:rFonts w:ascii="Arial" w:cs="Arial" w:eastAsia="Arial" w:hAnsi="Arial"/>
                <w:sz w:val="19"/>
                <w:szCs w:val="19"/>
              </w:rPr>
              <w:t xml:space="preserve">: si la tasa sube 1 punto, el precio cae cerca de 3,8 %</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INT.ACUM</w:t>
            </w:r>
            <w:r>
              <w:rPr>
                <w:rFonts w:ascii="Arial" w:cs="Arial" w:eastAsia="Arial" w:hAnsi="Arial"/>
                <w:sz w:val="19"/>
                <w:szCs w:val="19"/>
              </w:rPr>
              <w:t xml:space="preserve"> (ACCRINT)</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INT.ACUM(emisión; primer_interés; liq; tasa; v_nominal; frec; [base]; [método])</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Intereses corridos de un título con cupones</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Bono emitido el 15/04/2026, a la liquidación: </w:t>
            </w:r>
            <w:r>
              <w:rPr>
                <w:rFonts w:ascii="Arial" w:cs="Arial" w:eastAsia="Arial" w:hAnsi="Arial"/>
                <w:sz w:val="19"/>
                <w:szCs w:val="19"/>
              </w:rPr>
              <w:t xml:space="preserve">4,51</w:t>
            </w:r>
            <w:r>
              <w:rPr>
                <w:rFonts w:ascii="Arial" w:cs="Arial" w:eastAsia="Arial" w:hAnsi="Arial"/>
                <w:sz w:val="19"/>
                <w:szCs w:val="19"/>
              </w:rPr>
              <w:t xml:space="preserve"> por 100</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INT.ACUM.V</w:t>
            </w:r>
            <w:r>
              <w:rPr>
                <w:rFonts w:ascii="Arial" w:cs="Arial" w:eastAsia="Arial" w:hAnsi="Arial"/>
                <w:sz w:val="19"/>
                <w:szCs w:val="19"/>
              </w:rPr>
              <w:t xml:space="preserve"> (ACCRINTM)</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INT.ACUM.V(emisión; liq; tasa; v_nominal; [base])</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Intereses corridos de un título que paga al vencimiento</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Mismo uso, sin cupones intermedios</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TASA.DESC</w:t>
            </w:r>
            <w:r>
              <w:rPr>
                <w:rFonts w:ascii="Arial" w:cs="Arial" w:eastAsia="Arial" w:hAnsi="Arial"/>
                <w:sz w:val="19"/>
                <w:szCs w:val="19"/>
              </w:rPr>
              <w:t xml:space="preserve"> (DISC)</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TASA.DESC(liq; vencto; pr; amortización; [base])</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Tasa de descuento sobre el valor nominal</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Título de 180 días a 95,5: </w:t>
            </w:r>
            <w:r>
              <w:rPr>
                <w:rFonts w:ascii="Arial" w:cs="Arial" w:eastAsia="Arial" w:hAnsi="Arial"/>
                <w:sz w:val="19"/>
                <w:szCs w:val="19"/>
              </w:rPr>
              <w:t xml:space="preserve">9,00 %</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RENDTO.DESC</w:t>
            </w:r>
            <w:r>
              <w:rPr>
                <w:rFonts w:ascii="Arial" w:cs="Arial" w:eastAsia="Arial" w:hAnsi="Arial"/>
                <w:sz w:val="19"/>
                <w:szCs w:val="19"/>
              </w:rPr>
              <w:t xml:space="preserve"> (YIELDDISC)</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RENDTO.DESC(liq; vencto; pr; amortización; [base])</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Rendimiento sobre lo invertido</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9,42 %</w:t>
            </w:r>
            <w:r>
              <w:rPr>
                <w:rFonts w:ascii="Arial" w:cs="Arial" w:eastAsia="Arial" w:hAnsi="Arial"/>
                <w:sz w:val="19"/>
                <w:szCs w:val="19"/>
              </w:rPr>
              <w:t xml:space="preserve">: mayor que la tasa de descuento</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PRECIO.DESCUENTO</w:t>
            </w:r>
            <w:r>
              <w:rPr>
                <w:rFonts w:ascii="Arial" w:cs="Arial" w:eastAsia="Arial" w:hAnsi="Arial"/>
                <w:sz w:val="19"/>
                <w:szCs w:val="19"/>
              </w:rPr>
              <w:t xml:space="preserve"> (PRICEDISC)</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PRECIO.DESCUENTO(liq; vencto; descuento; amortización; [base])</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Precio de un título descontado</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Con 9 % de descuento: </w:t>
            </w:r>
            <w:r>
              <w:rPr>
                <w:rFonts w:ascii="Arial" w:cs="Arial" w:eastAsia="Arial" w:hAnsi="Arial"/>
                <w:sz w:val="19"/>
                <w:szCs w:val="19"/>
              </w:rPr>
              <w:t xml:space="preserve">95,50</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TASA.INT</w:t>
            </w:r>
            <w:r>
              <w:rPr>
                <w:rFonts w:ascii="Arial" w:cs="Arial" w:eastAsia="Arial" w:hAnsi="Arial"/>
                <w:sz w:val="19"/>
                <w:szCs w:val="19"/>
              </w:rPr>
              <w:t xml:space="preserve"> (INTRATE)</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TASA.INT(liq; vencto; inversión; amortización; [base])</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Tasa de interés de una inversión total</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9,42 %</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CANTIDAD.RECIBIDA</w:t>
            </w:r>
            <w:r>
              <w:rPr>
                <w:rFonts w:ascii="Arial" w:cs="Arial" w:eastAsia="Arial" w:hAnsi="Arial"/>
                <w:sz w:val="19"/>
                <w:szCs w:val="19"/>
              </w:rPr>
              <w:t xml:space="preserve"> (RECEIVED)</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CANTIDAD.RECIBIDA(liq; vencto; inversión; descuento; [base])</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Valor recibido al vencimiento</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Invirtiendo 95,5 al 9 % de descuento: </w:t>
            </w:r>
            <w:r>
              <w:rPr>
                <w:rFonts w:ascii="Arial" w:cs="Arial" w:eastAsia="Arial" w:hAnsi="Arial"/>
                <w:sz w:val="19"/>
                <w:szCs w:val="19"/>
              </w:rPr>
              <w:t xml:space="preserve">100,00</w:t>
            </w:r>
          </w:p>
        </w:tc>
      </w:tr>
      <w:tr>
        <w:tc>
          <w:tcPr>
            <w:tcW w:type="dxa" w:w="15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PRECIO.VENCIMIENTO</w:t>
            </w:r>
            <w:r>
              <w:rPr>
                <w:rFonts w:ascii="Arial" w:cs="Arial" w:eastAsia="Arial" w:hAnsi="Arial"/>
                <w:sz w:val="19"/>
                <w:szCs w:val="19"/>
              </w:rPr>
              <w:t xml:space="preserve"> y </w:t>
            </w:r>
            <w:r>
              <w:rPr>
                <w:rFonts w:ascii="Arial" w:cs="Arial" w:eastAsia="Arial" w:hAnsi="Arial"/>
                <w:sz w:val="19"/>
                <w:szCs w:val="19"/>
              </w:rPr>
              <w:t xml:space="preserve">RENDTO.VENCTO</w:t>
            </w:r>
            <w:r>
              <w:rPr>
                <w:rFonts w:ascii="Arial" w:cs="Arial" w:eastAsia="Arial" w:hAnsi="Arial"/>
                <w:sz w:val="19"/>
                <w:szCs w:val="19"/>
              </w:rPr>
              <w:t xml:space="preserve"> (PRICEMAT, YIELDMAT)</w:t>
            </w:r>
          </w:p>
        </w:tc>
        <w:tc>
          <w:tcPr>
            <w:tcW w:type="dxa" w:w="28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PRECIO.VENCIMIENTO(liq; vencto; emisión; tasa; rendto; [base])</w:t>
            </w:r>
          </w:p>
        </w:tc>
        <w:tc>
          <w:tcPr>
            <w:tcW w:type="dxa" w:w="2261"/>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Precio y rendimiento de títulos que pagan intereses al vencimiento</w:t>
            </w:r>
          </w:p>
        </w:tc>
        <w:tc>
          <w:tcPr>
            <w:tcW w:type="dxa" w:w="295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Útiles para CDT con pago de intereses al final</w:t>
            </w:r>
          </w:p>
        </w:tc>
      </w:tr>
      <w:tr>
        <w:tc>
          <w:tcPr>
            <w:tcW w:type="dxa" w:w="15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CUPON.NUM</w:t>
            </w:r>
            <w:r>
              <w:rPr>
                <w:rFonts w:ascii="Arial" w:cs="Arial" w:eastAsia="Arial" w:hAnsi="Arial"/>
                <w:sz w:val="19"/>
                <w:szCs w:val="19"/>
              </w:rPr>
              <w:t xml:space="preserve">, </w:t>
            </w:r>
            <w:r>
              <w:rPr>
                <w:rFonts w:ascii="Arial" w:cs="Arial" w:eastAsia="Arial" w:hAnsi="Arial"/>
                <w:sz w:val="19"/>
                <w:szCs w:val="19"/>
              </w:rPr>
              <w:t xml:space="preserve">CUPON.FECHA.L1</w:t>
            </w:r>
            <w:r>
              <w:rPr>
                <w:rFonts w:ascii="Arial" w:cs="Arial" w:eastAsia="Arial" w:hAnsi="Arial"/>
                <w:sz w:val="19"/>
                <w:szCs w:val="19"/>
              </w:rPr>
              <w:t xml:space="preserve">, </w:t>
            </w:r>
            <w:r>
              <w:rPr>
                <w:rFonts w:ascii="Arial" w:cs="Arial" w:eastAsia="Arial" w:hAnsi="Arial"/>
                <w:sz w:val="19"/>
                <w:szCs w:val="19"/>
              </w:rPr>
              <w:t xml:space="preserve">CUPON.FECHA.L2</w:t>
            </w:r>
            <w:r>
              <w:rPr>
                <w:rFonts w:ascii="Arial" w:cs="Arial" w:eastAsia="Arial" w:hAnsi="Arial"/>
                <w:sz w:val="19"/>
                <w:szCs w:val="19"/>
              </w:rPr>
              <w:t xml:space="preserve">, </w:t>
            </w:r>
            <w:r>
              <w:rPr>
                <w:rFonts w:ascii="Arial" w:cs="Arial" w:eastAsia="Arial" w:hAnsi="Arial"/>
                <w:sz w:val="19"/>
                <w:szCs w:val="19"/>
              </w:rPr>
              <w:t xml:space="preserve">CUPON.DIAS</w:t>
            </w:r>
            <w:r>
              <w:rPr>
                <w:rFonts w:ascii="Arial" w:cs="Arial" w:eastAsia="Arial" w:hAnsi="Arial"/>
                <w:sz w:val="19"/>
                <w:szCs w:val="19"/>
              </w:rPr>
              <w:t xml:space="preserve">, </w:t>
            </w:r>
            <w:r>
              <w:rPr>
                <w:rFonts w:ascii="Arial" w:cs="Arial" w:eastAsia="Arial" w:hAnsi="Arial"/>
                <w:sz w:val="19"/>
                <w:szCs w:val="19"/>
              </w:rPr>
              <w:t xml:space="preserve">CUPON.DIAS.L1</w:t>
            </w:r>
            <w:r>
              <w:rPr>
                <w:rFonts w:ascii="Arial" w:cs="Arial" w:eastAsia="Arial" w:hAnsi="Arial"/>
                <w:sz w:val="19"/>
                <w:szCs w:val="19"/>
              </w:rPr>
              <w:t xml:space="preserve">, </w:t>
            </w:r>
            <w:r>
              <w:rPr>
                <w:rFonts w:ascii="Arial" w:cs="Arial" w:eastAsia="Arial" w:hAnsi="Arial"/>
                <w:sz w:val="19"/>
                <w:szCs w:val="19"/>
              </w:rPr>
              <w:t xml:space="preserve">CUPON.DIAS.L2</w:t>
            </w:r>
          </w:p>
        </w:tc>
        <w:tc>
          <w:tcPr>
            <w:tcW w:type="dxa" w:w="28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(liq; vencto; frec; [base])</w:t>
            </w:r>
          </w:p>
        </w:tc>
        <w:tc>
          <w:tcPr>
            <w:tcW w:type="dxa" w:w="226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Número, fechas y días de los cupones</w:t>
            </w:r>
          </w:p>
        </w:tc>
        <w:tc>
          <w:tcPr>
            <w:tcW w:type="dxa" w:w="295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Cupones pendientes: </w:t>
            </w:r>
            <w:r>
              <w:rPr>
                <w:rFonts w:ascii="Arial" w:cs="Arial" w:eastAsia="Arial" w:hAnsi="Arial"/>
                <w:sz w:val="19"/>
                <w:szCs w:val="19"/>
              </w:rPr>
              <w:t xml:space="preserve">5</w:t>
            </w:r>
            <w:r>
              <w:rPr>
                <w:rFonts w:ascii="Arial" w:cs="Arial" w:eastAsia="Arial" w:hAnsi="Arial"/>
                <w:sz w:val="19"/>
                <w:szCs w:val="19"/>
              </w:rPr>
              <w:t xml:space="preserve">; próximo cupón: </w:t>
            </w:r>
            <w:r>
              <w:rPr>
                <w:rFonts w:ascii="Arial" w:cs="Arial" w:eastAsia="Arial" w:hAnsi="Arial"/>
                <w:sz w:val="19"/>
                <w:szCs w:val="19"/>
              </w:rPr>
              <w:t xml:space="preserve">15/10/2027</w:t>
            </w:r>
          </w:p>
        </w:tc>
      </w:tr>
    </w:tbl>
    <w:p>
      <w:pPr>
        <w:spacing w:after="80"/>
      </w:pPr>
    </w:p>
    <w:p>
      <w:pPr>
        <w:pStyle w:val="Heading1"/>
        <w:pageBreakBefore/>
      </w:pPr>
      <w:r>
        <w:rPr>
          <w:rFonts w:ascii="Arial" w:cs="Arial" w:eastAsia="Arial" w:hAnsi="Arial"/>
        </w:rPr>
        <w:t xml:space="preserve">8. Funciones especializadas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65"/>
        <w:gridCol w:w="5073"/>
      </w:tblGrid>
      <w:tr>
        <w:trPr>
          <w:tblHeader/>
        </w:trPr>
        <w:tc>
          <w:tcPr>
            <w:tcW w:type="dxa" w:w="4565"/>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Función</w:t>
            </w:r>
          </w:p>
        </w:tc>
        <w:tc>
          <w:tcPr>
            <w:tcW w:type="dxa" w:w="5073"/>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Para qué sirve</w:t>
            </w:r>
          </w:p>
        </w:tc>
      </w:tr>
      <w:tr>
        <w:tc>
          <w:tcPr>
            <w:tcW w:type="dxa" w:w="45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PRECIO.PER.IRREGULAR.1</w:t>
            </w:r>
            <w:r>
              <w:rPr>
                <w:rFonts w:ascii="Arial" w:cs="Arial" w:eastAsia="Arial" w:hAnsi="Arial"/>
                <w:sz w:val="19"/>
                <w:szCs w:val="19"/>
              </w:rPr>
              <w:t xml:space="preserve">, </w:t>
            </w:r>
            <w:r>
              <w:rPr>
                <w:rFonts w:ascii="Arial" w:cs="Arial" w:eastAsia="Arial" w:hAnsi="Arial"/>
                <w:sz w:val="19"/>
                <w:szCs w:val="19"/>
              </w:rPr>
              <w:t xml:space="preserve">RENDTO.PER.IRREGULAR.1</w:t>
            </w:r>
            <w:r>
              <w:rPr>
                <w:rFonts w:ascii="Arial" w:cs="Arial" w:eastAsia="Arial" w:hAnsi="Arial"/>
                <w:sz w:val="19"/>
                <w:szCs w:val="19"/>
              </w:rPr>
              <w:t xml:space="preserve"> (ODDFPRICE, ODDFYIELD)</w:t>
            </w:r>
          </w:p>
        </w:tc>
        <w:tc>
          <w:tcPr>
            <w:tcW w:type="dxa" w:w="50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Precio y rendimiento de un bono con el primer periodo de cupón irregular</w:t>
            </w:r>
          </w:p>
        </w:tc>
      </w:tr>
      <w:tr>
        <w:tc>
          <w:tcPr>
            <w:tcW w:type="dxa" w:w="4565"/>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PRECIO.PER.IRREGULAR.2</w:t>
            </w:r>
            <w:r>
              <w:rPr>
                <w:rFonts w:ascii="Arial" w:cs="Arial" w:eastAsia="Arial" w:hAnsi="Arial"/>
                <w:sz w:val="19"/>
                <w:szCs w:val="19"/>
              </w:rPr>
              <w:t xml:space="preserve">, </w:t>
            </w:r>
            <w:r>
              <w:rPr>
                <w:rFonts w:ascii="Arial" w:cs="Arial" w:eastAsia="Arial" w:hAnsi="Arial"/>
                <w:sz w:val="19"/>
                <w:szCs w:val="19"/>
              </w:rPr>
              <w:t xml:space="preserve">RENDTO.PER.IRREGULAR.2</w:t>
            </w:r>
            <w:r>
              <w:rPr>
                <w:rFonts w:ascii="Arial" w:cs="Arial" w:eastAsia="Arial" w:hAnsi="Arial"/>
                <w:sz w:val="19"/>
                <w:szCs w:val="19"/>
              </w:rPr>
              <w:t xml:space="preserve"> (ODDLPRICE, ODDLYIELD)</w:t>
            </w:r>
          </w:p>
        </w:tc>
        <w:tc>
          <w:tcPr>
            <w:tcW w:type="dxa" w:w="50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Igual, con el último periodo irregular</w:t>
            </w:r>
          </w:p>
        </w:tc>
      </w:tr>
      <w:tr>
        <w:tc>
          <w:tcPr>
            <w:tcW w:type="dxa" w:w="45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LETRA.DE.TES.PRECIO</w:t>
            </w:r>
            <w:r>
              <w:rPr>
                <w:rFonts w:ascii="Arial" w:cs="Arial" w:eastAsia="Arial" w:hAnsi="Arial"/>
                <w:sz w:val="19"/>
                <w:szCs w:val="19"/>
              </w:rPr>
              <w:t xml:space="preserve">, </w:t>
            </w:r>
            <w:r>
              <w:rPr>
                <w:rFonts w:ascii="Arial" w:cs="Arial" w:eastAsia="Arial" w:hAnsi="Arial"/>
                <w:sz w:val="19"/>
                <w:szCs w:val="19"/>
              </w:rPr>
              <w:t xml:space="preserve">LETRA.DE.TES.RENDTO</w:t>
            </w:r>
            <w:r>
              <w:rPr>
                <w:rFonts w:ascii="Arial" w:cs="Arial" w:eastAsia="Arial" w:hAnsi="Arial"/>
                <w:sz w:val="19"/>
                <w:szCs w:val="19"/>
              </w:rPr>
              <w:t xml:space="preserve">, </w:t>
            </w:r>
            <w:r>
              <w:rPr>
                <w:rFonts w:ascii="Arial" w:cs="Arial" w:eastAsia="Arial" w:hAnsi="Arial"/>
                <w:sz w:val="19"/>
                <w:szCs w:val="19"/>
              </w:rPr>
              <w:t xml:space="preserve">LETRA.DE.TES.EQV.A.BONO</w:t>
            </w:r>
            <w:r>
              <w:rPr>
                <w:rFonts w:ascii="Arial" w:cs="Arial" w:eastAsia="Arial" w:hAnsi="Arial"/>
                <w:sz w:val="19"/>
                <w:szCs w:val="19"/>
              </w:rPr>
              <w:t xml:space="preserve"> (TBILLPRICE, TBILLYIELD, TBILLEQ)</w:t>
            </w:r>
          </w:p>
        </w:tc>
        <w:tc>
          <w:tcPr>
            <w:tcW w:type="dxa" w:w="507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Letras del Tesoro de EE. UU. (base 360). Ejemplo: letra a 180 días con 9 % de descuento: precio 95,525; rendimiento equivalente a bono 9,55 %</w:t>
            </w:r>
          </w:p>
        </w:tc>
      </w:tr>
      <w:tr>
        <w:tc>
          <w:tcPr>
            <w:tcW w:type="dxa" w:w="4565"/>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MONEDA.DEC</w:t>
            </w:r>
            <w:r>
              <w:rPr>
                <w:rFonts w:ascii="Arial" w:cs="Arial" w:eastAsia="Arial" w:hAnsi="Arial"/>
                <w:sz w:val="19"/>
                <w:szCs w:val="19"/>
              </w:rPr>
              <w:t xml:space="preserve">, </w:t>
            </w:r>
            <w:r>
              <w:rPr>
                <w:rFonts w:ascii="Arial" w:cs="Arial" w:eastAsia="Arial" w:hAnsi="Arial"/>
                <w:sz w:val="19"/>
                <w:szCs w:val="19"/>
              </w:rPr>
              <w:t xml:space="preserve">MONEDA.FRAC</w:t>
            </w:r>
            <w:r>
              <w:rPr>
                <w:rFonts w:ascii="Arial" w:cs="Arial" w:eastAsia="Arial" w:hAnsi="Arial"/>
                <w:sz w:val="19"/>
                <w:szCs w:val="19"/>
              </w:rPr>
              <w:t xml:space="preserve"> (DOLLARDE, DOLLARFR)</w:t>
            </w:r>
          </w:p>
        </w:tc>
        <w:tc>
          <w:tcPr>
            <w:tcW w:type="dxa" w:w="50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Convierten cotizaciones en fracciones (101 1/32 = 101,03125) a decimales y viceversa</w:t>
            </w:r>
          </w:p>
        </w:tc>
      </w:tr>
    </w:tbl>
    <w:p>
      <w:pPr>
        <w:spacing w:after="80"/>
      </w:pPr>
    </w:p>
    <w:p>
      <w:pPr>
        <w:pStyle w:val="Heading1"/>
        <w:pageBreakBefore/>
      </w:pPr>
      <w:r>
        <w:rPr>
          <w:rFonts w:ascii="Arial" w:cs="Arial" w:eastAsia="Arial" w:hAnsi="Arial"/>
        </w:rPr>
        <w:t xml:space="preserve">9. Errores y mensajes frecuentes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10"/>
        <w:gridCol w:w="3413"/>
        <w:gridCol w:w="3615"/>
      </w:tblGrid>
      <w:tr>
        <w:trPr>
          <w:tblHeader/>
        </w:trPr>
        <w:tc>
          <w:tcPr>
            <w:tcW w:type="dxa" w:w="261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Síntoma</w:t>
            </w:r>
          </w:p>
        </w:tc>
        <w:tc>
          <w:tcPr>
            <w:tcW w:type="dxa" w:w="3413"/>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Causa probable</w:t>
            </w:r>
          </w:p>
        </w:tc>
        <w:tc>
          <w:tcPr>
            <w:tcW w:type="dxa" w:w="3615"/>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Solución</w:t>
            </w:r>
          </w:p>
        </w:tc>
      </w:tr>
      <w:tr>
        <w:tc>
          <w:tcPr>
            <w:tcW w:type="dxa" w:w="261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La cuota sale negativa</w:t>
            </w:r>
          </w:p>
        </w:tc>
        <w:tc>
          <w:tcPr>
            <w:tcW w:type="dxa" w:w="341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Convención de signos</w:t>
            </w:r>
          </w:p>
        </w:tc>
        <w:tc>
          <w:tcPr>
            <w:tcW w:type="dxa" w:w="36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Escriba el monto con signo negativo: =PAGO(i;n;-P)</w:t>
            </w:r>
          </w:p>
        </w:tc>
      </w:tr>
      <w:tr>
        <w:tc>
          <w:tcPr>
            <w:tcW w:type="dxa" w:w="261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#¡NUM! en TASA o TIR</w:t>
            </w:r>
          </w:p>
        </w:tc>
        <w:tc>
          <w:tcPr>
            <w:tcW w:type="dxa" w:w="341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La función no converge</w:t>
            </w:r>
          </w:p>
        </w:tc>
        <w:tc>
          <w:tcPr>
            <w:tcW w:type="dxa" w:w="3615"/>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Dé un valor inicial en estimar o revise los signos de los flujos</w:t>
            </w:r>
          </w:p>
        </w:tc>
      </w:tr>
      <w:tr>
        <w:tc>
          <w:tcPr>
            <w:tcW w:type="dxa" w:w="261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#¡NUM! en NPER</w:t>
            </w:r>
          </w:p>
        </w:tc>
        <w:tc>
          <w:tcPr>
            <w:tcW w:type="dxa" w:w="341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La cuota no alcanza a cubrir los intereses</w:t>
            </w:r>
          </w:p>
        </w:tc>
        <w:tc>
          <w:tcPr>
            <w:tcW w:type="dxa" w:w="36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Aumente la cuota o revise la tasa</w:t>
            </w:r>
          </w:p>
        </w:tc>
      </w:tr>
      <w:tr>
        <w:tc>
          <w:tcPr>
            <w:tcW w:type="dxa" w:w="261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El VPN no coincide con el cálculo manual</w:t>
            </w:r>
          </w:p>
        </w:tc>
        <w:tc>
          <w:tcPr>
            <w:tcW w:type="dxa" w:w="341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El año 0 quedó dentro de VNA</w:t>
            </w:r>
          </w:p>
        </w:tc>
        <w:tc>
          <w:tcPr>
            <w:tcW w:type="dxa" w:w="3615"/>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Sume el flujo inicial por fuera de VNA</w:t>
            </w:r>
          </w:p>
        </w:tc>
      </w:tr>
      <w:tr>
        <w:tc>
          <w:tcPr>
            <w:tcW w:type="dxa" w:w="261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La cuota es demasiado alta o baja</w:t>
            </w:r>
          </w:p>
        </w:tc>
        <w:tc>
          <w:tcPr>
            <w:tcW w:type="dxa" w:w="341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Tasa anual con pagos mensuales</w:t>
            </w:r>
          </w:p>
        </w:tc>
        <w:tc>
          <w:tcPr>
            <w:tcW w:type="dxa" w:w="36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Convierta la tasa a la periodicidad de los pagos</w:t>
            </w:r>
          </w:p>
        </w:tc>
      </w:tr>
      <w:tr>
        <w:tc>
          <w:tcPr>
            <w:tcW w:type="dxa" w:w="261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#¿NOMBRE?</w:t>
            </w:r>
          </w:p>
        </w:tc>
        <w:tc>
          <w:tcPr>
            <w:tcW w:type="dxa" w:w="341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Nombre en inglés en un Excel en español, o al revés; o versión antigua (P.DURACION, RRI)</w:t>
            </w:r>
          </w:p>
        </w:tc>
        <w:tc>
          <w:tcPr>
            <w:tcW w:type="dxa" w:w="3615"/>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Use el nombre del idioma del programa</w:t>
            </w:r>
          </w:p>
        </w:tc>
      </w:tr>
      <w:tr>
        <w:tc>
          <w:tcPr>
            <w:tcW w:type="dxa" w:w="261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#¡VALOR! en funciones de títulos</w:t>
            </w:r>
          </w:p>
        </w:tc>
        <w:tc>
          <w:tcPr>
            <w:tcW w:type="dxa" w:w="341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Fechas escritas como texto</w:t>
            </w:r>
          </w:p>
        </w:tc>
        <w:tc>
          <w:tcPr>
            <w:tcW w:type="dxa" w:w="361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Use FECHA(año;mes;día) o celdas con formato de fecha</w:t>
            </w:r>
          </w:p>
        </w:tc>
      </w:tr>
    </w:tbl>
    <w:p>
      <w:pPr>
        <w:spacing w:after="80"/>
      </w:pPr>
    </w:p>
    <w:p>
      <w:pPr>
        <w:pStyle w:val="Heading1"/>
        <w:pageBreakBefore/>
      </w:pPr>
      <w:r>
        <w:rPr>
          <w:rFonts w:ascii="Arial" w:cs="Arial" w:eastAsia="Arial" w:hAnsi="Arial"/>
        </w:rPr>
        <w:t xml:space="preserve">10. Ejercicios de práctica</w:t>
      </w:r>
    </w:p>
    <w:p>
      <w:pPr>
        <w:spacing w:after="120" w:line="276"/>
        <w:jc w:val="both"/>
      </w:pPr>
      <w:r>
        <w:rPr>
          <w:rFonts w:ascii="Arial" w:cs="Arial" w:eastAsia="Arial" w:hAnsi="Arial"/>
          <w:b/>
          <w:bCs/>
        </w:rPr>
        <w:t xml:space="preserve">1.</w:t>
      </w:r>
      <w:r>
        <w:rPr>
          <w:rFonts w:ascii="Arial" w:cs="Arial" w:eastAsia="Arial" w:hAnsi="Arial"/>
        </w:rPr>
        <w:t xml:space="preserve"> Un crédito de $36 M a 48 meses al 1,2 % mensual. Calcule la cuota con PAGO y el saldo después de 24 cuotas con VA.</w:t>
      </w:r>
    </w:p>
    <w:p>
      <w:pPr>
        <w:spacing w:after="120" w:line="276"/>
        <w:jc w:val="both"/>
      </w:pPr>
      <w:r>
        <w:rPr>
          <w:rFonts w:ascii="Arial" w:cs="Arial" w:eastAsia="Arial" w:hAnsi="Arial"/>
          <w:i/>
          <w:iCs/>
          <w:color w:val="548235"/>
        </w:rPr>
        <w:t xml:space="preserve">Respuesta:</w:t>
      </w:r>
      <w:r>
        <w:rPr>
          <w:rFonts w:ascii="Arial" w:cs="Arial" w:eastAsia="Arial" w:hAnsi="Arial"/>
          <w:color w:val="548235"/>
        </w:rPr>
        <w:t xml:space="preserve"> =PAGO(1,2%;48;-36000000) → $990.992; saldo =VA(1,2%;24;-cuota) → $20.559.116.</w:t>
      </w:r>
    </w:p>
    <w:p>
      <w:pPr>
        <w:spacing w:after="120" w:line="276"/>
        <w:jc w:val="both"/>
      </w:pPr>
      <w:r>
        <w:rPr>
          <w:rFonts w:ascii="Arial" w:cs="Arial" w:eastAsia="Arial" w:hAnsi="Arial"/>
          <w:b/>
          <w:bCs/>
        </w:rPr>
        <w:t xml:space="preserve">2.</w:t>
      </w:r>
      <w:r>
        <w:rPr>
          <w:rFonts w:ascii="Arial" w:cs="Arial" w:eastAsia="Arial" w:hAnsi="Arial"/>
        </w:rPr>
        <w:t xml:space="preserve"> ¿Cuánto paga de intereses en el segundo año el crédito de vivienda de $180 M (cuotas 13 a 24)?</w:t>
      </w:r>
    </w:p>
    <w:p>
      <w:pPr>
        <w:spacing w:after="120" w:line="276"/>
        <w:jc w:val="both"/>
      </w:pPr>
      <w:r>
        <w:rPr>
          <w:rFonts w:ascii="Arial" w:cs="Arial" w:eastAsia="Arial" w:hAnsi="Arial"/>
          <w:i/>
          <w:iCs/>
          <w:color w:val="548235"/>
        </w:rPr>
        <w:t xml:space="preserve">Respuesta:</w:t>
      </w:r>
      <w:r>
        <w:rPr>
          <w:rFonts w:ascii="Arial" w:cs="Arial" w:eastAsia="Arial" w:hAnsi="Arial"/>
          <w:color w:val="548235"/>
        </w:rPr>
        <w:t xml:space="preserve"> Use =-PAGO.INT.ENTRE(i;180;180000000;13;24;0). Compárelo con el primer año: baja muy poco, porque el capital se amortiza despacio.</w:t>
      </w:r>
    </w:p>
    <w:p>
      <w:pPr>
        <w:spacing w:after="120" w:line="276"/>
        <w:jc w:val="both"/>
      </w:pPr>
      <w:r>
        <w:rPr>
          <w:rFonts w:ascii="Arial" w:cs="Arial" w:eastAsia="Arial" w:hAnsi="Arial"/>
          <w:b/>
          <w:bCs/>
        </w:rPr>
        <w:t xml:space="preserve">3.</w:t>
      </w:r>
      <w:r>
        <w:rPr>
          <w:rFonts w:ascii="Arial" w:cs="Arial" w:eastAsia="Arial" w:hAnsi="Arial"/>
        </w:rPr>
        <w:t xml:space="preserve"> Verifique que 18 % N.M.V. equivale a 19,56 % E.A. con INT.EFECTIVO y regrese con TASA.NOMINAL.</w:t>
      </w:r>
    </w:p>
    <w:p>
      <w:pPr>
        <w:spacing w:after="120" w:line="276"/>
        <w:jc w:val="both"/>
      </w:pPr>
      <w:r>
        <w:rPr>
          <w:rFonts w:ascii="Arial" w:cs="Arial" w:eastAsia="Arial" w:hAnsi="Arial"/>
          <w:i/>
          <w:iCs/>
          <w:color w:val="548235"/>
        </w:rPr>
        <w:t xml:space="preserve">Respuesta:</w:t>
      </w:r>
      <w:r>
        <w:rPr>
          <w:rFonts w:ascii="Arial" w:cs="Arial" w:eastAsia="Arial" w:hAnsi="Arial"/>
          <w:color w:val="548235"/>
        </w:rPr>
        <w:t xml:space="preserve"> =INT.EFECTIVO(18%;12) → 19,56 %; =TASA.NOMINAL(19,56%;12) → 18 %.</w:t>
      </w:r>
    </w:p>
    <w:p>
      <w:pPr>
        <w:spacing w:after="120" w:line="276"/>
        <w:jc w:val="both"/>
      </w:pPr>
      <w:r>
        <w:rPr>
          <w:rFonts w:ascii="Arial" w:cs="Arial" w:eastAsia="Arial" w:hAnsi="Arial"/>
          <w:b/>
          <w:bCs/>
        </w:rPr>
        <w:t xml:space="preserve">4.</w:t>
      </w:r>
      <w:r>
        <w:rPr>
          <w:rFonts w:ascii="Arial" w:cs="Arial" w:eastAsia="Arial" w:hAnsi="Arial"/>
        </w:rPr>
        <w:t xml:space="preserve"> Calcule el VPN y la TIR de un proyecto con flujos −450, 135, 147, 159, 173 y 455 (millones) a un WACC de 20,46 %.</w:t>
      </w:r>
    </w:p>
    <w:p>
      <w:pPr>
        <w:spacing w:after="120" w:line="276"/>
        <w:jc w:val="both"/>
      </w:pPr>
      <w:r>
        <w:rPr>
          <w:rFonts w:ascii="Arial" w:cs="Arial" w:eastAsia="Arial" w:hAnsi="Arial"/>
          <w:i/>
          <w:iCs/>
          <w:color w:val="548235"/>
        </w:rPr>
        <w:t xml:space="preserve">Respuesta:</w:t>
      </w:r>
      <w:r>
        <w:rPr>
          <w:rFonts w:ascii="Arial" w:cs="Arial" w:eastAsia="Arial" w:hAnsi="Arial"/>
          <w:color w:val="548235"/>
        </w:rPr>
        <w:t xml:space="preserve"> VPN ≈ 115,9 millones (=VNA(20,46%;flujos 1 a 5) + flujo 0); TIR ≈ 29,6 %. Es el caso de la sesión de evaluación de inversiones.</w:t>
      </w:r>
    </w:p>
    <w:p>
      <w:pPr>
        <w:spacing w:after="120" w:line="276"/>
        <w:jc w:val="both"/>
      </w:pPr>
      <w:r>
        <w:rPr>
          <w:rFonts w:ascii="Arial" w:cs="Arial" w:eastAsia="Arial" w:hAnsi="Arial"/>
          <w:b/>
          <w:bCs/>
        </w:rPr>
        <w:t xml:space="preserve">5.</w:t>
      </w:r>
      <w:r>
        <w:rPr>
          <w:rFonts w:ascii="Arial" w:cs="Arial" w:eastAsia="Arial" w:hAnsi="Arial"/>
        </w:rPr>
        <w:t xml:space="preserve"> ¿Cuántos meses tardan $20 M en duplicarse al 1,1 % mensual? Use P.DURACION y compruebe con NPER.</w:t>
      </w:r>
    </w:p>
    <w:p>
      <w:pPr>
        <w:spacing w:after="120" w:line="276"/>
        <w:jc w:val="both"/>
      </w:pPr>
      <w:r>
        <w:rPr>
          <w:rFonts w:ascii="Arial" w:cs="Arial" w:eastAsia="Arial" w:hAnsi="Arial"/>
          <w:i/>
          <w:iCs/>
          <w:color w:val="548235"/>
        </w:rPr>
        <w:t xml:space="preserve">Respuesta:</w:t>
      </w:r>
      <w:r>
        <w:rPr>
          <w:rFonts w:ascii="Arial" w:cs="Arial" w:eastAsia="Arial" w:hAnsi="Arial"/>
          <w:color w:val="548235"/>
        </w:rPr>
        <w:t xml:space="preserve"> =P.DURACION(1,1%;20000000;40000000) → 63,36 meses; =NPER(1,1%;0;-20000000;40000000) da lo mismo.</w:t>
      </w:r>
    </w:p>
    <w:p>
      <w:pPr>
        <w:pStyle w:val="Heading2"/>
      </w:pPr>
      <w:r>
        <w:rPr>
          <w:rFonts w:ascii="Arial" w:cs="Arial" w:eastAsia="Arial" w:hAnsi="Arial"/>
        </w:rPr>
        <w:t xml:space="preserve">Fuente</w:t>
      </w:r>
    </w:p>
    <w:p>
      <w:pPr>
        <w:spacing w:after="120" w:line="276"/>
        <w:jc w:val="both"/>
      </w:pPr>
      <w:r>
        <w:rPr>
          <w:rFonts w:ascii="Arial" w:cs="Arial" w:eastAsia="Arial" w:hAnsi="Arial"/>
        </w:rPr>
        <w:t xml:space="preserve">Microsoft. Funciones financieras (referencia). Soporte de Microsoft, versión en español: support.microsoft.com/es-es/excel/financial-functions-reference. Los resultados de los ejemplos fueron calculados en el libro Funciones_Financieras_Excel.xlsx.</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F7F7F"/>
        <w:sz w:val="16"/>
        <w:szCs w:val="16"/>
      </w:rPr>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7F7F7F"/>
        <w:sz w:val="16"/>
        <w:szCs w:val="16"/>
      </w:rPr>
      <w:t xml:space="preserve">Funciones financieras de Excel en español · Guía del curso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0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abstractNum w:abstractNumId="6" w15:restartNumberingAfterBreak="0">
    <w:multiLevelType w:val="hybridMultilevel"/>
    <w:lvl w:ilvl="0" w15:tentative="1">
      <w:start w:val="1"/>
      <w:numFmt w:val="decimal"/>
      <w:lvlText w:val="%1."/>
      <w:lvlJc w:val="left"/>
      <w:pPr>
        <w:ind w:left="540" w:hanging="300"/>
      </w:pPr>
    </w:lvl>
  </w:abstractNum>
  <w:abstractNum w:abstractNumId="7" w15:restartNumberingAfterBreak="0">
    <w:multiLevelType w:val="hybridMultilevel"/>
    <w:lvl w:ilvl="0" w15:tentative="1">
      <w:start w:val="1"/>
      <w:numFmt w:val="decimal"/>
      <w:lvlText w:val="%1."/>
      <w:lvlJc w:val="left"/>
      <w:pPr>
        <w:ind w:left="540" w:hanging="300"/>
      </w:pPr>
    </w:lvl>
  </w:abstractNum>
  <w:abstractNum w:abstractNumId="8" w15:restartNumberingAfterBreak="0">
    <w:multiLevelType w:val="hybridMultilevel"/>
    <w:lvl w:ilvl="0" w15:tentative="1">
      <w:start w:val="1"/>
      <w:numFmt w:val="decimal"/>
      <w:lvlText w:val="%1."/>
      <w:lvlJc w:val="left"/>
      <w:pPr>
        <w:ind w:left="540" w:hanging="300"/>
      </w:pPr>
    </w:lvl>
  </w:abstractNum>
  <w:abstractNum w:abstractNumId="9" w15:restartNumberingAfterBreak="0">
    <w:multiLevelType w:val="hybridMultilevel"/>
    <w:lvl w:ilvl="0" w15:tentative="1">
      <w:start w:val="1"/>
      <w:numFmt w:val="decimal"/>
      <w:lvlText w:val="%1."/>
      <w:lvlJc w:val="left"/>
      <w:pPr>
        <w:ind w:left="540" w:hanging="300"/>
      </w:pPr>
    </w:lvl>
  </w:abstractNum>
  <w:abstractNum w:abstractNumId="10" w15:restartNumberingAfterBreak="0">
    <w:multiLevelType w:val="hybridMultilevel"/>
    <w:lvl w:ilvl="0" w15:tentative="1">
      <w:start w:val="1"/>
      <w:numFmt w:val="decimal"/>
      <w:lvlText w:val="%1."/>
      <w:lvlJc w:val="left"/>
      <w:pPr>
        <w:ind w:left="540" w:hanging="300"/>
      </w:pPr>
    </w:lvl>
  </w:abstractNum>
  <w:abstractNum w:abstractNumId="11" w15:restartNumberingAfterBreak="0">
    <w:multiLevelType w:val="hybridMultilevel"/>
    <w:lvl w:ilvl="0" w15:tentative="1">
      <w:start w:val="1"/>
      <w:numFmt w:val="decimal"/>
      <w:lvlText w:val="%1."/>
      <w:lvlJc w:val="left"/>
      <w:pPr>
        <w:ind w:left="540" w:hanging="300"/>
      </w:pPr>
    </w:lvl>
  </w:abstractNum>
  <w:abstractNum w:abstractNumId="12" w15:restartNumberingAfterBreak="0">
    <w:multiLevelType w:val="hybridMultilevel"/>
    <w:lvl w:ilvl="0" w15:tentative="1">
      <w:start w:val="1"/>
      <w:numFmt w:val="decimal"/>
      <w:lvlText w:val="%1."/>
      <w:lvlJc w:val="left"/>
      <w:pPr>
        <w:ind w:left="540" w:hanging="300"/>
      </w:pPr>
    </w:lvl>
  </w:abstractNum>
  <w:abstractNum w:abstractNumId="13" w15:restartNumberingAfterBreak="0">
    <w:multiLevelType w:val="hybridMultilevel"/>
    <w:lvl w:ilvl="0" w15:tentative="1">
      <w:start w:val="1"/>
      <w:numFmt w:val="decimal"/>
      <w:lvlText w:val="%1."/>
      <w:lvlJc w:val="left"/>
      <w:pPr>
        <w:ind w:left="540" w:hanging="300"/>
      </w:pPr>
    </w:lvl>
  </w:abstractNum>
  <w:abstractNum w:abstractNumId="14" w15:restartNumberingAfterBreak="0">
    <w:multiLevelType w:val="hybridMultilevel"/>
    <w:lvl w:ilvl="0" w15:tentative="1">
      <w:start w:val="1"/>
      <w:numFmt w:val="decimal"/>
      <w:lvlText w:val="%1."/>
      <w:lvlJc w:val="left"/>
      <w:pPr>
        <w:ind w:left="540" w:hanging="300"/>
      </w:pPr>
    </w:lvl>
  </w:abstractNum>
  <w:abstractNum w:abstractNumId="15" w15:restartNumberingAfterBreak="0">
    <w:multiLevelType w:val="hybridMultilevel"/>
    <w:lvl w:ilvl="0" w15:tentative="1">
      <w:start w:val="1"/>
      <w:numFmt w:val="decimal"/>
      <w:lvlText w:val="%1."/>
      <w:lvlJc w:val="left"/>
      <w:pPr>
        <w:ind w:left="540" w:hanging="300"/>
      </w:pPr>
    </w:lvl>
  </w:abstractNum>
  <w:abstractNum w:abstractNumId="16" w15:restartNumberingAfterBreak="0">
    <w:multiLevelType w:val="hybridMultilevel"/>
    <w:lvl w:ilvl="0" w15:tentative="1">
      <w:start w:val="1"/>
      <w:numFmt w:val="decimal"/>
      <w:lvlText w:val="%1."/>
      <w:lvlJc w:val="left"/>
      <w:pPr>
        <w:ind w:left="540" w:hanging="300"/>
      </w:pPr>
    </w:lvl>
  </w:abstractNum>
  <w:abstractNum w:abstractNumId="17" w15:restartNumberingAfterBreak="0">
    <w:multiLevelType w:val="hybridMultilevel"/>
    <w:lvl w:ilvl="0" w15:tentative="1">
      <w:start w:val="1"/>
      <w:numFmt w:val="decimal"/>
      <w:lvlText w:val="%1."/>
      <w:lvlJc w:val="left"/>
      <w:pPr>
        <w:ind w:left="540" w:hanging="300"/>
      </w:pPr>
    </w:lvl>
  </w:abstractNum>
  <w:abstractNum w:abstractNumId="18" w15:restartNumberingAfterBreak="0">
    <w:multiLevelType w:val="hybridMultilevel"/>
    <w:lvl w:ilvl="0" w15:tentative="1">
      <w:start w:val="1"/>
      <w:numFmt w:val="decimal"/>
      <w:lvlText w:val="%1."/>
      <w:lvlJc w:val="left"/>
      <w:pPr>
        <w:ind w:left="540" w:hanging="300"/>
      </w:pPr>
    </w:lvl>
  </w:abstractNum>
  <w:abstractNum w:abstractNumId="19" w15:restartNumberingAfterBreak="0">
    <w:multiLevelType w:val="hybridMultilevel"/>
    <w:lvl w:ilvl="0" w15:tentative="1">
      <w:start w:val="1"/>
      <w:numFmt w:val="decimal"/>
      <w:lvlText w:val="%1."/>
      <w:lvlJc w:val="left"/>
      <w:pPr>
        <w:ind w:left="540" w:hanging="300"/>
      </w:pPr>
    </w:lvl>
  </w:abstractNum>
  <w:abstractNum w:abstractNumId="20" w15:restartNumberingAfterBreak="0">
    <w:multiLevelType w:val="hybridMultilevel"/>
    <w:lvl w:ilvl="0" w15:tentative="1">
      <w:start w:val="1"/>
      <w:numFmt w:val="decimal"/>
      <w:lvlText w:val="%1."/>
      <w:lvlJc w:val="left"/>
      <w:pPr>
        <w:ind w:left="540" w:hanging="300"/>
      </w:pPr>
    </w:lvl>
  </w:abstractNum>
  <w:abstractNum w:abstractNumId="21" w15:restartNumberingAfterBreak="0">
    <w:multiLevelType w:val="hybridMultilevel"/>
    <w:lvl w:ilvl="0" w15:tentative="1">
      <w:start w:val="1"/>
      <w:numFmt w:val="decimal"/>
      <w:lvlText w:val="%1."/>
      <w:lvlJc w:val="left"/>
      <w:pPr>
        <w:ind w:left="540" w:hanging="300"/>
      </w:pPr>
    </w:lvl>
  </w:abstractNum>
  <w:abstractNum w:abstractNumId="22" w15:restartNumberingAfterBreak="0">
    <w:multiLevelType w:val="hybridMultilevel"/>
    <w:lvl w:ilvl="0" w15:tentative="1">
      <w:start w:val="1"/>
      <w:numFmt w:val="decimal"/>
      <w:lvlText w:val="%1."/>
      <w:lvlJc w:val="left"/>
      <w:pPr>
        <w:ind w:left="540" w:hanging="300"/>
      </w:pPr>
    </w:lvl>
  </w:abstractNum>
  <w:abstractNum w:abstractNumId="23" w15:restartNumberingAfterBreak="0">
    <w:multiLevelType w:val="hybridMultilevel"/>
    <w:lvl w:ilvl="0" w15:tentative="1">
      <w:start w:val="1"/>
      <w:numFmt w:val="decimal"/>
      <w:lvlText w:val="%1."/>
      <w:lvlJc w:val="left"/>
      <w:pPr>
        <w:ind w:left="540" w:hanging="300"/>
      </w:pPr>
    </w:lvl>
  </w:abstractNum>
  <w:abstractNum w:abstractNumId="24" w15:restartNumberingAfterBreak="0">
    <w:multiLevelType w:val="hybridMultilevel"/>
    <w:lvl w:ilvl="0" w15:tentative="1">
      <w:start w:val="1"/>
      <w:numFmt w:val="decimal"/>
      <w:lvlText w:val="%1."/>
      <w:lvlJc w:val="left"/>
      <w:pPr>
        <w:ind w:left="540" w:hanging="300"/>
      </w:pPr>
    </w:lvl>
  </w:abstractNum>
  <w:abstractNum w:abstractNumId="25" w15:restartNumberingAfterBreak="0">
    <w:multiLevelType w:val="hybridMultilevel"/>
    <w:lvl w:ilvl="0" w15:tentative="1">
      <w:start w:val="1"/>
      <w:numFmt w:val="decimal"/>
      <w:lvlText w:val="%1."/>
      <w:lvlJc w:val="left"/>
      <w:pPr>
        <w:ind w:left="540" w:hanging="300"/>
      </w:pPr>
    </w:lvl>
  </w:abstractNum>
  <w:abstractNum w:abstractNumId="26" w15:restartNumberingAfterBreak="0">
    <w:multiLevelType w:val="hybridMultilevel"/>
    <w:lvl w:ilvl="0" w15:tentative="1">
      <w:start w:val="1"/>
      <w:numFmt w:val="decimal"/>
      <w:lvlText w:val="%1."/>
      <w:lvlJc w:val="left"/>
      <w:pPr>
        <w:ind w:left="540" w:hanging="300"/>
      </w:pPr>
    </w:lvl>
  </w:abstractNum>
  <w:abstractNum w:abstractNumId="27" w15:restartNumberingAfterBreak="0">
    <w:multiLevelType w:val="hybridMultilevel"/>
    <w:lvl w:ilvl="0" w15:tentative="1">
      <w:start w:val="1"/>
      <w:numFmt w:val="decimal"/>
      <w:lvlText w:val="%1."/>
      <w:lvlJc w:val="left"/>
      <w:pPr>
        <w:ind w:left="540" w:hanging="300"/>
      </w:pPr>
    </w:lvl>
  </w:abstractNum>
  <w:abstractNum w:abstractNumId="28" w15:restartNumberingAfterBreak="0">
    <w:multiLevelType w:val="hybridMultilevel"/>
    <w:lvl w:ilvl="0" w15:tentative="1">
      <w:start w:val="1"/>
      <w:numFmt w:val="decimal"/>
      <w:lvlText w:val="%1."/>
      <w:lvlJc w:val="left"/>
      <w:pPr>
        <w:ind w:left="540" w:hanging="300"/>
      </w:pPr>
    </w:lvl>
  </w:abstractNum>
  <w:abstractNum w:abstractNumId="29" w15:restartNumberingAfterBreak="0">
    <w:multiLevelType w:val="hybridMultilevel"/>
    <w:lvl w:ilvl="0" w15:tentative="1">
      <w:start w:val="1"/>
      <w:numFmt w:val="decimal"/>
      <w:lvlText w:val="%1."/>
      <w:lvlJc w:val="left"/>
      <w:pPr>
        <w:ind w:left="540" w:hanging="300"/>
      </w:pPr>
    </w:lvl>
  </w:abstractNum>
  <w:abstractNum w:abstractNumId="30" w15:restartNumberingAfterBreak="0">
    <w:multiLevelType w:val="hybridMultilevel"/>
    <w:lvl w:ilvl="0" w15:tentative="1">
      <w:start w:val="1"/>
      <w:numFmt w:val="decimal"/>
      <w:lvlText w:val="%1."/>
      <w:lvlJc w:val="left"/>
      <w:pPr>
        <w:ind w:left="540" w:hanging="300"/>
      </w:pPr>
    </w:lvl>
  </w:abstractNum>
  <w:abstractNum w:abstractNumId="31" w15:restartNumberingAfterBreak="0">
    <w:multiLevelType w:val="hybridMultilevel"/>
    <w:lvl w:ilvl="0" w15:tentative="1">
      <w:start w:val="1"/>
      <w:numFmt w:val="decimal"/>
      <w:lvlText w:val="%1."/>
      <w:lvlJc w:val="left"/>
      <w:pPr>
        <w:ind w:left="540" w:hanging="300"/>
      </w:pPr>
    </w:lvl>
  </w:abstractNum>
  <w:abstractNum w:abstractNumId="32"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120"/>
      <w:outlineLvl w:val="0"/>
    </w:pPr>
    <w:rPr>
      <w:rFonts w:ascii="Arial" w:cs="Arial" w:eastAsia="Arial" w:hAnsi="Arial"/>
      <w:b/>
      <w:bCs/>
      <w:color w:val="1F3864"/>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1F3864"/>
      <w:sz w:val="25"/>
      <w:szCs w:val="25"/>
    </w:rPr>
  </w:style>
  <w:style w:type="paragraph" w:styleId="Heading3">
    <w:name w:val="Heading 3"/>
    <w:basedOn w:val="Normal"/>
    <w:next w:val="Normal"/>
    <w:qFormat/>
    <w:pPr>
      <w:spacing w:after="80" w:before="180"/>
      <w:outlineLvl w:val="2"/>
    </w:pPr>
    <w:rPr>
      <w:rFonts w:ascii="Arial" w:cs="Arial" w:eastAsia="Arial" w:hAnsi="Arial"/>
      <w:b/>
      <w:bCs/>
      <w:color w:val="C55A11"/>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Funciones financieras de Excel en español · Guía del curso</dc:title>
  <dc:creator>Alexander Zamora</dc:creator>
  <cp:lastModifiedBy>Un-named</cp:lastModifiedBy>
  <cp:revision>1</cp:revision>
  <dcterms:created xsi:type="dcterms:W3CDTF">2026-10-12T01:27:30.295Z</dcterms:created>
  <dcterms:modified xsi:type="dcterms:W3CDTF">2026-10-12T01:27:30.296Z</dcterms:modified>
</cp:coreProperties>
</file>

<file path=docProps/custom.xml><?xml version="1.0" encoding="utf-8"?>
<Properties xmlns="http://schemas.openxmlformats.org/officeDocument/2006/custom-properties" xmlns:vt="http://schemas.openxmlformats.org/officeDocument/2006/docPropsVTypes"/>
</file>